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175E1" w14:textId="3CB54F0E" w:rsidR="00E21395" w:rsidRPr="00787B03" w:rsidRDefault="00623352" w:rsidP="00D738A5">
      <w:pPr>
        <w:pStyle w:val="berschrift3"/>
        <w:spacing w:before="280" w:after="180" w:afterAutospacing="0" w:line="276" w:lineRule="auto"/>
        <w:jc w:val="center"/>
        <w:rPr>
          <w:rFonts w:cstheme="minorHAnsi"/>
          <w:b w:val="0"/>
          <w:bCs w:val="0"/>
          <w:color w:val="C00000"/>
          <w:sz w:val="34"/>
          <w:szCs w:val="34"/>
        </w:rPr>
      </w:pPr>
      <w:bookmarkStart w:id="0" w:name="_Hlk60935628"/>
      <w:r w:rsidRPr="00787B03">
        <w:rPr>
          <w:rFonts w:asciiTheme="minorHAnsi" w:hAnsiTheme="minorHAnsi" w:cstheme="minorHAnsi"/>
          <w:color w:val="C00000"/>
          <w:sz w:val="34"/>
          <w:szCs w:val="34"/>
        </w:rPr>
        <w:t>Die Stichtagsregelung</w:t>
      </w:r>
      <w:r w:rsidR="006E7C2D" w:rsidRPr="00787B03">
        <w:rPr>
          <w:rFonts w:asciiTheme="minorHAnsi" w:hAnsiTheme="minorHAnsi" w:cstheme="minorHAnsi"/>
          <w:color w:val="C00000"/>
          <w:sz w:val="34"/>
          <w:szCs w:val="34"/>
        </w:rPr>
        <w:t xml:space="preserve"> (§ 86d </w:t>
      </w:r>
      <w:r w:rsidR="006E7C2D" w:rsidRPr="0090619F">
        <w:rPr>
          <w:rFonts w:asciiTheme="minorHAnsi" w:hAnsiTheme="minorHAnsi" w:cstheme="minorHAnsi"/>
          <w:color w:val="C00000"/>
          <w:sz w:val="32"/>
          <w:szCs w:val="32"/>
        </w:rPr>
        <w:t>Abs</w:t>
      </w:r>
      <w:r w:rsidR="006E7C2D" w:rsidRPr="00787B03">
        <w:rPr>
          <w:rFonts w:asciiTheme="minorHAnsi" w:hAnsiTheme="minorHAnsi" w:cstheme="minorHAnsi"/>
          <w:color w:val="C00000"/>
          <w:sz w:val="34"/>
          <w:szCs w:val="34"/>
        </w:rPr>
        <w:t xml:space="preserve"> 2 TFLG 1996 idF LGBl 70/2014)</w:t>
      </w:r>
    </w:p>
    <w:p w14:paraId="49053803" w14:textId="77777777" w:rsidR="00D738A5" w:rsidRDefault="00D738A5" w:rsidP="00E21395">
      <w:pPr>
        <w:jc w:val="both"/>
        <w:rPr>
          <w:rFonts w:eastAsia="Times New Roman" w:cstheme="minorHAnsi"/>
          <w:sz w:val="24"/>
          <w:szCs w:val="24"/>
        </w:rPr>
      </w:pPr>
      <w:bookmarkStart w:id="1" w:name="_Hlk62038341"/>
    </w:p>
    <w:p w14:paraId="7126D37B" w14:textId="77777777" w:rsidR="0090619F" w:rsidRDefault="00E21395" w:rsidP="0090619F">
      <w:pPr>
        <w:spacing w:after="240" w:line="276" w:lineRule="auto"/>
        <w:rPr>
          <w:rFonts w:eastAsia="Times New Roman" w:cstheme="minorHAnsi"/>
          <w:b/>
          <w:bCs/>
        </w:rPr>
      </w:pPr>
      <w:r w:rsidRPr="0090619F">
        <w:rPr>
          <w:rFonts w:eastAsia="Times New Roman" w:cstheme="minorHAnsi"/>
          <w:b/>
          <w:bCs/>
        </w:rPr>
        <w:t>Die in § 86d Abs. 2 der TFLG-Novelle 2014 enthaltene Stichtagsregelung war zeitlich so knapp bemessen, dass den Gemeinden – offenbar von der Landesregierung und ihr folgend vom Landes</w:t>
      </w:r>
      <w:r w:rsidR="0090619F">
        <w:rPr>
          <w:rFonts w:eastAsia="Times New Roman" w:cstheme="minorHAnsi"/>
          <w:b/>
          <w:bCs/>
        </w:rPr>
        <w:softHyphen/>
      </w:r>
      <w:r w:rsidRPr="0090619F">
        <w:rPr>
          <w:rFonts w:eastAsia="Times New Roman" w:cstheme="minorHAnsi"/>
          <w:b/>
          <w:bCs/>
        </w:rPr>
        <w:t>gesetzgeber so gewollt - die erfolgreiche Geltendmachung von Rück</w:t>
      </w:r>
      <w:r w:rsidR="00F24ACF" w:rsidRPr="0090619F">
        <w:rPr>
          <w:rFonts w:eastAsia="Times New Roman" w:cstheme="minorHAnsi"/>
          <w:b/>
          <w:bCs/>
        </w:rPr>
        <w:softHyphen/>
      </w:r>
      <w:r w:rsidRPr="0090619F">
        <w:rPr>
          <w:rFonts w:eastAsia="Times New Roman" w:cstheme="minorHAnsi"/>
          <w:b/>
          <w:bCs/>
        </w:rPr>
        <w:t>forde</w:t>
      </w:r>
      <w:r w:rsidR="00A70E2D" w:rsidRPr="0090619F">
        <w:rPr>
          <w:rFonts w:eastAsia="Times New Roman" w:cstheme="minorHAnsi"/>
          <w:b/>
          <w:bCs/>
        </w:rPr>
        <w:softHyphen/>
      </w:r>
      <w:r w:rsidRPr="0090619F">
        <w:rPr>
          <w:rFonts w:eastAsia="Times New Roman" w:cstheme="minorHAnsi"/>
          <w:b/>
          <w:bCs/>
        </w:rPr>
        <w:t>rungs</w:t>
      </w:r>
      <w:r w:rsidRPr="0090619F">
        <w:rPr>
          <w:rFonts w:eastAsia="Times New Roman" w:cstheme="minorHAnsi"/>
          <w:b/>
          <w:bCs/>
        </w:rPr>
        <w:softHyphen/>
        <w:t>ansprüchen aus in der Vergangenheit von den Agrargemeinschaften unrecht</w:t>
      </w:r>
      <w:r w:rsidR="00F24ACF" w:rsidRPr="0090619F">
        <w:rPr>
          <w:rFonts w:eastAsia="Times New Roman" w:cstheme="minorHAnsi"/>
          <w:b/>
          <w:bCs/>
        </w:rPr>
        <w:softHyphen/>
      </w:r>
      <w:r w:rsidRPr="0090619F">
        <w:rPr>
          <w:rFonts w:eastAsia="Times New Roman" w:cstheme="minorHAnsi"/>
          <w:b/>
          <w:bCs/>
        </w:rPr>
        <w:t>mäßig bezogenen Einkünften aus dem Substanzwert erschwert, wenn nicht sogar faktisch verun</w:t>
      </w:r>
      <w:r w:rsidR="00A70E2D" w:rsidRPr="0090619F">
        <w:rPr>
          <w:rFonts w:eastAsia="Times New Roman" w:cstheme="minorHAnsi"/>
          <w:b/>
          <w:bCs/>
        </w:rPr>
        <w:softHyphen/>
      </w:r>
      <w:r w:rsidRPr="0090619F">
        <w:rPr>
          <w:rFonts w:eastAsia="Times New Roman" w:cstheme="minorHAnsi"/>
          <w:b/>
          <w:bCs/>
        </w:rPr>
        <w:t>möglicht wurde.  Diese Bestimmung wurde vom Verfassungsgerichtshof im Jahr 2015 zufolge zu knapp festgesetzter Rückrechnungs</w:t>
      </w:r>
      <w:r w:rsidR="0090619F">
        <w:rPr>
          <w:rFonts w:eastAsia="Times New Roman" w:cstheme="minorHAnsi"/>
          <w:b/>
          <w:bCs/>
        </w:rPr>
        <w:softHyphen/>
      </w:r>
      <w:r w:rsidRPr="0090619F">
        <w:rPr>
          <w:rFonts w:eastAsia="Times New Roman" w:cstheme="minorHAnsi"/>
          <w:b/>
          <w:bCs/>
        </w:rPr>
        <w:t>zeiträume wegen Verletzung des verfas</w:t>
      </w:r>
      <w:r w:rsidR="00A70E2D" w:rsidRPr="0090619F">
        <w:rPr>
          <w:rFonts w:eastAsia="Times New Roman" w:cstheme="minorHAnsi"/>
          <w:b/>
          <w:bCs/>
        </w:rPr>
        <w:softHyphen/>
      </w:r>
      <w:r w:rsidRPr="0090619F">
        <w:rPr>
          <w:rFonts w:eastAsia="Times New Roman" w:cstheme="minorHAnsi"/>
          <w:b/>
          <w:bCs/>
        </w:rPr>
        <w:t>sungs</w:t>
      </w:r>
      <w:r w:rsidR="00F24ACF" w:rsidRPr="0090619F">
        <w:rPr>
          <w:rFonts w:eastAsia="Times New Roman" w:cstheme="minorHAnsi"/>
          <w:b/>
          <w:bCs/>
        </w:rPr>
        <w:softHyphen/>
      </w:r>
      <w:r w:rsidR="00A70E2D" w:rsidRPr="0090619F">
        <w:rPr>
          <w:rFonts w:eastAsia="Times New Roman" w:cstheme="minorHAnsi"/>
          <w:b/>
          <w:bCs/>
        </w:rPr>
        <w:softHyphen/>
      </w:r>
      <w:r w:rsidR="00A70E2D" w:rsidRPr="0090619F">
        <w:rPr>
          <w:rFonts w:eastAsia="Times New Roman" w:cstheme="minorHAnsi"/>
          <w:b/>
          <w:bCs/>
        </w:rPr>
        <w:softHyphen/>
      </w:r>
      <w:r w:rsidRPr="0090619F">
        <w:rPr>
          <w:rFonts w:eastAsia="Times New Roman" w:cstheme="minorHAnsi"/>
          <w:b/>
          <w:bCs/>
        </w:rPr>
        <w:t xml:space="preserve">rechtlich geschützten Rechts auf Unversehrtheit des Eigentums (erwartungsgemäß) aufgehoben.  </w:t>
      </w:r>
      <w:bookmarkEnd w:id="1"/>
    </w:p>
    <w:p w14:paraId="4891DF9B" w14:textId="5492C4BF" w:rsidR="0090619F" w:rsidRDefault="00E21395" w:rsidP="0090619F">
      <w:pPr>
        <w:spacing w:after="240" w:line="276" w:lineRule="auto"/>
        <w:rPr>
          <w:rFonts w:eastAsia="Times New Roman" w:cstheme="minorHAnsi"/>
        </w:rPr>
      </w:pPr>
      <w:r w:rsidRPr="0090619F">
        <w:rPr>
          <w:rFonts w:eastAsia="Times New Roman" w:cstheme="minorHAnsi"/>
        </w:rPr>
        <w:t>Grundsätzlich steht der Gemeinde gegenüber der Agrargemeinschaft das Recht zu, von dieser die ihr aus der widerrechtlichen Aneignung von Gemeindegut erwachsenen Ver</w:t>
      </w:r>
      <w:r w:rsidR="00A70E2D" w:rsidRPr="0090619F">
        <w:rPr>
          <w:rFonts w:eastAsia="Times New Roman" w:cstheme="minorHAnsi"/>
        </w:rPr>
        <w:softHyphen/>
      </w:r>
      <w:r w:rsidRPr="0090619F">
        <w:rPr>
          <w:rFonts w:eastAsia="Times New Roman" w:cstheme="minorHAnsi"/>
        </w:rPr>
        <w:t>mögens</w:t>
      </w:r>
      <w:r w:rsidRPr="0090619F">
        <w:rPr>
          <w:rFonts w:eastAsia="Times New Roman" w:cstheme="minorHAnsi"/>
        </w:rPr>
        <w:softHyphen/>
        <w:t>schäden zurückzu</w:t>
      </w:r>
      <w:r w:rsidR="0090619F">
        <w:rPr>
          <w:rFonts w:eastAsia="Times New Roman" w:cstheme="minorHAnsi"/>
        </w:rPr>
        <w:softHyphen/>
      </w:r>
      <w:r w:rsidRPr="0090619F">
        <w:rPr>
          <w:rFonts w:eastAsia="Times New Roman" w:cstheme="minorHAnsi"/>
        </w:rPr>
        <w:t>fordern, wobei festzuhalten ist, dass grundsätzlich öffentliche Rechte und aus diesen erfließende Ansprüche keinen Verjährungsfristen unterliegen und damit unverjährbar sind.</w:t>
      </w:r>
    </w:p>
    <w:p w14:paraId="51EFA5B3" w14:textId="206B0BF7" w:rsidR="00E21395" w:rsidRPr="0090619F" w:rsidRDefault="00E21395" w:rsidP="0090619F">
      <w:pPr>
        <w:spacing w:after="240" w:line="276" w:lineRule="auto"/>
        <w:rPr>
          <w:rFonts w:eastAsia="Times New Roman" w:cstheme="minorHAnsi"/>
          <w:b/>
          <w:bCs/>
        </w:rPr>
      </w:pPr>
      <w:r w:rsidRPr="0090619F">
        <w:rPr>
          <w:rFonts w:eastAsia="Times New Roman" w:cstheme="minorHAnsi"/>
        </w:rPr>
        <w:t>§ 86d Abs. 2 in der Fassung der TFLG-Novelle 2014 sah nun folgende Stichtage vor, bis zu denen die rückwirkende Geltendmachung von Ansprüchen – bezogen auf deren Entstehung - durch die Gemeinden zulässig sein sollte:</w:t>
      </w:r>
    </w:p>
    <w:p w14:paraId="71B4A44F" w14:textId="3F371894" w:rsidR="00E21395" w:rsidRPr="0090619F" w:rsidRDefault="00E21395" w:rsidP="0090619F">
      <w:pPr>
        <w:pStyle w:val="Listenabsatz"/>
        <w:numPr>
          <w:ilvl w:val="0"/>
          <w:numId w:val="8"/>
        </w:numPr>
        <w:suppressAutoHyphens w:val="0"/>
        <w:spacing w:after="120" w:line="276" w:lineRule="auto"/>
        <w:ind w:left="714" w:hanging="357"/>
        <w:contextualSpacing w:val="0"/>
        <w:rPr>
          <w:rFonts w:eastAsia="Times New Roman" w:cstheme="minorHAnsi"/>
        </w:rPr>
      </w:pPr>
      <w:r w:rsidRPr="0090619F">
        <w:rPr>
          <w:rFonts w:eastAsia="Times New Roman" w:cstheme="minorHAnsi"/>
        </w:rPr>
        <w:t>01.06.2008 (also bloß sechs Jahre und ein Monat!) für Einkünfte aus der Substanz (zB Grundstückverkauf, Schipistenentschädigung, Schotterverkauf, diverse Pachteinnahmen);</w:t>
      </w:r>
    </w:p>
    <w:p w14:paraId="3A105433" w14:textId="77777777" w:rsidR="00E21395" w:rsidRPr="0090619F" w:rsidRDefault="00E21395" w:rsidP="0090619F">
      <w:pPr>
        <w:pStyle w:val="Listenabsatz"/>
        <w:numPr>
          <w:ilvl w:val="0"/>
          <w:numId w:val="8"/>
        </w:numPr>
        <w:suppressAutoHyphens w:val="0"/>
        <w:spacing w:after="100" w:afterAutospacing="1" w:line="276" w:lineRule="auto"/>
        <w:rPr>
          <w:rFonts w:eastAsia="Times New Roman" w:cstheme="minorHAnsi"/>
        </w:rPr>
      </w:pPr>
      <w:r w:rsidRPr="0090619F">
        <w:rPr>
          <w:rFonts w:eastAsia="Times New Roman" w:cstheme="minorHAnsi"/>
        </w:rPr>
        <w:t>01.06.2013 (also bloß 13 Monate!) für Einkünfte aus dem „Überling“ samt Jagdpacht.</w:t>
      </w:r>
    </w:p>
    <w:p w14:paraId="42BF9D7B" w14:textId="2006CA50" w:rsidR="00E21395" w:rsidRPr="0090619F" w:rsidRDefault="00E21395" w:rsidP="0090619F">
      <w:pPr>
        <w:spacing w:after="240" w:line="276" w:lineRule="auto"/>
        <w:rPr>
          <w:rFonts w:eastAsia="Times New Roman" w:cstheme="minorHAnsi"/>
        </w:rPr>
      </w:pPr>
      <w:r w:rsidRPr="0090619F">
        <w:rPr>
          <w:rFonts w:eastAsia="Times New Roman" w:cstheme="minorHAnsi"/>
        </w:rPr>
        <w:t>Dies</w:t>
      </w:r>
      <w:r w:rsidR="00D738A5" w:rsidRPr="0090619F">
        <w:rPr>
          <w:rFonts w:eastAsia="Times New Roman" w:cstheme="minorHAnsi"/>
        </w:rPr>
        <w:t xml:space="preserve"> </w:t>
      </w:r>
      <w:r w:rsidRPr="0090619F">
        <w:rPr>
          <w:rFonts w:eastAsia="Times New Roman" w:cstheme="minorHAnsi"/>
        </w:rPr>
        <w:t>wurde in einem von einem Drittel der Landtagsabgeordneten angestrengten Gesetz</w:t>
      </w:r>
      <w:r w:rsidR="00A70E2D" w:rsidRPr="0090619F">
        <w:rPr>
          <w:rFonts w:eastAsia="Times New Roman" w:cstheme="minorHAnsi"/>
        </w:rPr>
        <w:softHyphen/>
      </w:r>
      <w:r w:rsidRPr="0090619F">
        <w:rPr>
          <w:rFonts w:eastAsia="Times New Roman" w:cstheme="minorHAnsi"/>
        </w:rPr>
        <w:t>prüfungs</w:t>
      </w:r>
      <w:r w:rsidR="006F5B98">
        <w:rPr>
          <w:rFonts w:eastAsia="Times New Roman" w:cstheme="minorHAnsi"/>
        </w:rPr>
        <w:softHyphen/>
      </w:r>
      <w:r w:rsidRPr="0090619F">
        <w:rPr>
          <w:rFonts w:eastAsia="Times New Roman" w:cstheme="minorHAnsi"/>
        </w:rPr>
        <w:t>v</w:t>
      </w:r>
      <w:r w:rsidR="00D738A5" w:rsidRPr="0090619F">
        <w:rPr>
          <w:rFonts w:eastAsia="Times New Roman" w:cstheme="minorHAnsi"/>
        </w:rPr>
        <w:t>erfahren mit dem Argument, die</w:t>
      </w:r>
      <w:r w:rsidRPr="0090619F">
        <w:rPr>
          <w:rFonts w:eastAsia="Times New Roman" w:cstheme="minorHAnsi"/>
        </w:rPr>
        <w:t xml:space="preserve"> kurzen Rückrechnungszeiträume würden dazu führen, dass die Gemeinden wiederum einen wesentlichen Teil ihres Substanzwertes ver</w:t>
      </w:r>
      <w:r w:rsidR="00A70E2D" w:rsidRPr="0090619F">
        <w:rPr>
          <w:rFonts w:eastAsia="Times New Roman" w:cstheme="minorHAnsi"/>
        </w:rPr>
        <w:softHyphen/>
      </w:r>
      <w:r w:rsidRPr="0090619F">
        <w:rPr>
          <w:rFonts w:eastAsia="Times New Roman" w:cstheme="minorHAnsi"/>
        </w:rPr>
        <w:t>lieren werden und damit grob benachteiligt seien, beim Verfassungsgerichtshof ange</w:t>
      </w:r>
      <w:r w:rsidR="00A70E2D" w:rsidRPr="0090619F">
        <w:rPr>
          <w:rFonts w:eastAsia="Times New Roman" w:cstheme="minorHAnsi"/>
        </w:rPr>
        <w:softHyphen/>
      </w:r>
      <w:r w:rsidRPr="0090619F">
        <w:rPr>
          <w:rFonts w:eastAsia="Times New Roman" w:cstheme="minorHAnsi"/>
        </w:rPr>
        <w:t>fochten. Das Höchstgericht teilte im Wesentlichen diese Bedenken und hob im Jahr 2015 die angefochtene Bestimmung wegen Verlet</w:t>
      </w:r>
      <w:r w:rsidR="006F5B98">
        <w:rPr>
          <w:rFonts w:eastAsia="Times New Roman" w:cstheme="minorHAnsi"/>
        </w:rPr>
        <w:softHyphen/>
      </w:r>
      <w:r w:rsidRPr="0090619F">
        <w:rPr>
          <w:rFonts w:eastAsia="Times New Roman" w:cstheme="minorHAnsi"/>
        </w:rPr>
        <w:t>zung des verfassungsrechtlich geschützten Rechts auf Unversehrtheit des Eigentums auf.</w:t>
      </w:r>
    </w:p>
    <w:p w14:paraId="45C791DF" w14:textId="61034C58" w:rsidR="00EB026C" w:rsidRPr="0090619F" w:rsidRDefault="00E21395" w:rsidP="0090619F">
      <w:pPr>
        <w:spacing w:after="240" w:line="276" w:lineRule="auto"/>
        <w:rPr>
          <w:rFonts w:eastAsia="Times New Roman" w:cstheme="minorHAnsi"/>
        </w:rPr>
      </w:pPr>
      <w:bookmarkStart w:id="2" w:name="_Hlk62727034"/>
      <w:bookmarkEnd w:id="0"/>
      <w:r w:rsidRPr="0090619F">
        <w:rPr>
          <w:rFonts w:eastAsia="Times New Roman" w:cstheme="minorHAnsi"/>
        </w:rPr>
        <w:t xml:space="preserve">Die daraufhin notwendig gewordene Novelle des TFLG 2017 legte die Stichtage mit 1. Juni 2008 für Erträge aus dem Überling und mit 1. Juni 1998 für Erträge aus der Substanz neu fest. Diese immer noch viel zu kurz bemessenen (neuen) Rückrechnungszeiträume wurden jedoch nicht mehr bekämpft. </w:t>
      </w:r>
      <w:bookmarkEnd w:id="2"/>
    </w:p>
    <w:sectPr w:rsidR="00EB026C" w:rsidRPr="0090619F" w:rsidSect="00FD130B">
      <w:headerReference w:type="default" r:id="rId8"/>
      <w:footerReference w:type="default" r:id="rId9"/>
      <w:pgSz w:w="11906" w:h="16838"/>
      <w:pgMar w:top="1417" w:right="1417" w:bottom="1134" w:left="1417" w:header="0" w:footer="0" w:gutter="0"/>
      <w:pgNumType w:fmt="numberInDash"/>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17B9D" w14:textId="77777777" w:rsidR="004D1D8A" w:rsidRDefault="004D1D8A" w:rsidP="0033541A">
      <w:pPr>
        <w:spacing w:after="0" w:line="240" w:lineRule="auto"/>
      </w:pPr>
      <w:r>
        <w:separator/>
      </w:r>
    </w:p>
  </w:endnote>
  <w:endnote w:type="continuationSeparator" w:id="0">
    <w:p w14:paraId="1B9721E0" w14:textId="77777777" w:rsidR="004D1D8A" w:rsidRDefault="004D1D8A" w:rsidP="00335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Yu Gothic UI Semibold">
    <w:panose1 w:val="020B0700000000000000"/>
    <w:charset w:val="80"/>
    <w:family w:val="swiss"/>
    <w:pitch w:val="variable"/>
    <w:sig w:usb0="E00002FF" w:usb1="2AC7FDFF" w:usb2="00000016" w:usb3="00000000" w:csb0="0002009F" w:csb1="00000000"/>
  </w:font>
  <w:font w:name="Biome Light">
    <w:altName w:val="Biome Light"/>
    <w:charset w:val="00"/>
    <w:family w:val="swiss"/>
    <w:pitch w:val="variable"/>
    <w:sig w:usb0="A11526FF" w:usb1="8000000A"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7CAE6" w14:textId="77777777" w:rsidR="00FD130B" w:rsidRDefault="00FD130B" w:rsidP="00FD130B">
    <w:pPr>
      <w:pStyle w:val="Fuzeile"/>
      <w:jc w:val="center"/>
      <w:rPr>
        <w:rFonts w:cstheme="minorHAnsi"/>
      </w:rPr>
    </w:pPr>
    <w:r>
      <w:rPr>
        <w:rFonts w:eastAsia="Yu Gothic UI Semibold" w:cstheme="minorHAnsi"/>
      </w:rPr>
      <w:t>&gt;&gt; Gemeindeland in Gemeindehand &lt;&lt;</w:t>
    </w:r>
  </w:p>
  <w:p w14:paraId="71DDFB92" w14:textId="7410213B" w:rsidR="0033541A" w:rsidRDefault="0033541A" w:rsidP="0033541A">
    <w:pPr>
      <w:pStyle w:val="Fuzeile"/>
      <w:jc w:val="center"/>
      <w:rPr>
        <w:rFonts w:ascii="Biome Light" w:eastAsia="Yu Gothic UI Semibold" w:hAnsi="Biome Light" w:cs="Biome Light"/>
        <w:b/>
        <w:bCs/>
        <w:sz w:val="24"/>
        <w:szCs w:val="24"/>
      </w:rPr>
    </w:pPr>
  </w:p>
  <w:p w14:paraId="272915CA" w14:textId="77777777" w:rsidR="006E7C2D" w:rsidRPr="0033541A" w:rsidRDefault="006E7C2D" w:rsidP="0033541A">
    <w:pPr>
      <w:pStyle w:val="Fuzeile"/>
      <w:jc w:val="cen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46808" w14:textId="77777777" w:rsidR="004D1D8A" w:rsidRDefault="004D1D8A" w:rsidP="0033541A">
      <w:pPr>
        <w:spacing w:after="0" w:line="240" w:lineRule="auto"/>
      </w:pPr>
      <w:r>
        <w:separator/>
      </w:r>
    </w:p>
  </w:footnote>
  <w:footnote w:type="continuationSeparator" w:id="0">
    <w:p w14:paraId="3756F883" w14:textId="77777777" w:rsidR="004D1D8A" w:rsidRDefault="004D1D8A" w:rsidP="003354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5493090"/>
      <w:docPartObj>
        <w:docPartGallery w:val="Page Numbers (Top of Page)"/>
        <w:docPartUnique/>
      </w:docPartObj>
    </w:sdtPr>
    <w:sdtEndPr/>
    <w:sdtContent>
      <w:p w14:paraId="5CA7DE66" w14:textId="77777777" w:rsidR="00AD7547" w:rsidRDefault="00AD7547">
        <w:pPr>
          <w:pStyle w:val="Kopfzeile"/>
          <w:jc w:val="center"/>
        </w:pPr>
      </w:p>
      <w:p w14:paraId="32F4A949" w14:textId="2F0BDACE" w:rsidR="00E21395" w:rsidRDefault="00E21395">
        <w:pPr>
          <w:pStyle w:val="Kopfzeile"/>
          <w:jc w:val="center"/>
        </w:pPr>
        <w:r>
          <w:fldChar w:fldCharType="begin"/>
        </w:r>
        <w:r>
          <w:instrText>PAGE   \* MERGEFORMAT</w:instrText>
        </w:r>
        <w:r>
          <w:fldChar w:fldCharType="separate"/>
        </w:r>
        <w:r w:rsidR="00D738A5" w:rsidRPr="00D738A5">
          <w:rPr>
            <w:noProof/>
            <w:lang w:val="de-DE"/>
          </w:rPr>
          <w:t>1</w:t>
        </w:r>
        <w:r>
          <w:fldChar w:fldCharType="end"/>
        </w:r>
      </w:p>
      <w:p w14:paraId="2D69215C" w14:textId="77777777" w:rsidR="00E21395" w:rsidRDefault="00E21395">
        <w:pPr>
          <w:pStyle w:val="Kopfzeile"/>
          <w:jc w:val="center"/>
        </w:pPr>
      </w:p>
      <w:p w14:paraId="583957D0" w14:textId="112AAE30" w:rsidR="00E21395" w:rsidRDefault="004D1D8A">
        <w:pPr>
          <w:pStyle w:val="Kopfzeile"/>
          <w:jc w:val="center"/>
        </w:pPr>
      </w:p>
    </w:sdtContent>
  </w:sdt>
  <w:p w14:paraId="4D3F1ECD" w14:textId="77777777" w:rsidR="00E21395" w:rsidRDefault="00E2139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078E6"/>
    <w:multiLevelType w:val="multilevel"/>
    <w:tmpl w:val="A0321C1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4CD28D9"/>
    <w:multiLevelType w:val="hybridMultilevel"/>
    <w:tmpl w:val="807229C2"/>
    <w:lvl w:ilvl="0" w:tplc="0C070001">
      <w:start w:val="1"/>
      <w:numFmt w:val="bullet"/>
      <w:lvlText w:val=""/>
      <w:lvlJc w:val="left"/>
      <w:pPr>
        <w:ind w:left="360" w:hanging="360"/>
      </w:pPr>
      <w:rPr>
        <w:rFonts w:ascii="Symbol" w:hAnsi="Symbol" w:hint="default"/>
      </w:rPr>
    </w:lvl>
    <w:lvl w:ilvl="1" w:tplc="0C070001">
      <w:start w:val="1"/>
      <w:numFmt w:val="bullet"/>
      <w:lvlText w:val=""/>
      <w:lvlJc w:val="left"/>
      <w:pPr>
        <w:ind w:left="1080" w:hanging="360"/>
      </w:pPr>
      <w:rPr>
        <w:rFonts w:ascii="Symbol" w:hAnsi="Symbol" w:hint="default"/>
      </w:rPr>
    </w:lvl>
    <w:lvl w:ilvl="2" w:tplc="0C070003">
      <w:start w:val="1"/>
      <w:numFmt w:val="bullet"/>
      <w:lvlText w:val="o"/>
      <w:lvlJc w:val="left"/>
      <w:pPr>
        <w:ind w:left="1800" w:hanging="360"/>
      </w:pPr>
      <w:rPr>
        <w:rFonts w:ascii="Courier New" w:hAnsi="Courier New" w:cs="Courier New"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 w15:restartNumberingAfterBreak="0">
    <w:nsid w:val="2BC7339E"/>
    <w:multiLevelType w:val="multilevel"/>
    <w:tmpl w:val="E2E86E9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39B0497A"/>
    <w:multiLevelType w:val="multilevel"/>
    <w:tmpl w:val="2B06E8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499058DE"/>
    <w:multiLevelType w:val="hybridMultilevel"/>
    <w:tmpl w:val="0F1E3DBC"/>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4E746FB8"/>
    <w:multiLevelType w:val="hybridMultilevel"/>
    <w:tmpl w:val="6F16285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51822272"/>
    <w:multiLevelType w:val="multilevel"/>
    <w:tmpl w:val="74C2AEF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7" w15:restartNumberingAfterBreak="0">
    <w:nsid w:val="58E91984"/>
    <w:multiLevelType w:val="multilevel"/>
    <w:tmpl w:val="0A1AC62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5FB871C8"/>
    <w:multiLevelType w:val="hybridMultilevel"/>
    <w:tmpl w:val="45C86768"/>
    <w:lvl w:ilvl="0" w:tplc="0C070001">
      <w:start w:val="1"/>
      <w:numFmt w:val="bullet"/>
      <w:lvlText w:val=""/>
      <w:lvlJc w:val="left"/>
      <w:pPr>
        <w:ind w:left="360" w:hanging="360"/>
      </w:pPr>
      <w:rPr>
        <w:rFonts w:ascii="Symbol" w:hAnsi="Symbol" w:hint="default"/>
      </w:rPr>
    </w:lvl>
    <w:lvl w:ilvl="1" w:tplc="0C070001">
      <w:start w:val="1"/>
      <w:numFmt w:val="bullet"/>
      <w:lvlText w:val=""/>
      <w:lvlJc w:val="left"/>
      <w:pPr>
        <w:ind w:left="1080" w:hanging="360"/>
      </w:pPr>
      <w:rPr>
        <w:rFonts w:ascii="Symbol" w:hAnsi="Symbol" w:hint="default"/>
      </w:rPr>
    </w:lvl>
    <w:lvl w:ilvl="2" w:tplc="0C070005">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9" w15:restartNumberingAfterBreak="0">
    <w:nsid w:val="5FBE4023"/>
    <w:multiLevelType w:val="hybridMultilevel"/>
    <w:tmpl w:val="A3CE92D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713A168A"/>
    <w:multiLevelType w:val="multilevel"/>
    <w:tmpl w:val="B014613C"/>
    <w:lvl w:ilvl="0">
      <w:start w:val="1"/>
      <w:numFmt w:val="bullet"/>
      <w:lvlText w:val=""/>
      <w:lvlJc w:val="left"/>
      <w:pPr>
        <w:tabs>
          <w:tab w:val="num" w:pos="720"/>
        </w:tabs>
        <w:ind w:left="720" w:hanging="360"/>
      </w:pPr>
      <w:rPr>
        <w:rFonts w:ascii="Wingdings" w:hAnsi="Wingdings" w:cs="Wingdings" w:hint="default"/>
        <w:sz w:val="20"/>
      </w:rPr>
    </w:lvl>
    <w:lvl w:ilvl="1">
      <w:start w:val="1"/>
      <w:numFmt w:val="bullet"/>
      <w:lvlText w:val=""/>
      <w:lvlJc w:val="left"/>
      <w:pPr>
        <w:tabs>
          <w:tab w:val="num" w:pos="1440"/>
        </w:tabs>
        <w:ind w:left="1440" w:hanging="360"/>
      </w:pPr>
      <w:rPr>
        <w:rFonts w:ascii="Wingdings" w:hAnsi="Wingdings" w:cs="Wingdings"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2"/>
  </w:num>
  <w:num w:numId="2">
    <w:abstractNumId w:val="3"/>
  </w:num>
  <w:num w:numId="3">
    <w:abstractNumId w:val="0"/>
  </w:num>
  <w:num w:numId="4">
    <w:abstractNumId w:val="10"/>
  </w:num>
  <w:num w:numId="5">
    <w:abstractNumId w:val="7"/>
  </w:num>
  <w:num w:numId="6">
    <w:abstractNumId w:val="6"/>
  </w:num>
  <w:num w:numId="7">
    <w:abstractNumId w:val="4"/>
  </w:num>
  <w:num w:numId="8">
    <w:abstractNumId w:val="5"/>
  </w:num>
  <w:num w:numId="9">
    <w:abstractNumId w:val="8"/>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62D0"/>
    <w:rsid w:val="00096FCF"/>
    <w:rsid w:val="000F4189"/>
    <w:rsid w:val="00125FAF"/>
    <w:rsid w:val="0013079D"/>
    <w:rsid w:val="001D7AC6"/>
    <w:rsid w:val="0020794F"/>
    <w:rsid w:val="00230B9D"/>
    <w:rsid w:val="00290758"/>
    <w:rsid w:val="002E63A5"/>
    <w:rsid w:val="00301411"/>
    <w:rsid w:val="00317589"/>
    <w:rsid w:val="0033541A"/>
    <w:rsid w:val="00391BD2"/>
    <w:rsid w:val="004D1D8A"/>
    <w:rsid w:val="004E60F6"/>
    <w:rsid w:val="005057DE"/>
    <w:rsid w:val="00527AA3"/>
    <w:rsid w:val="005B080B"/>
    <w:rsid w:val="005E2350"/>
    <w:rsid w:val="00623352"/>
    <w:rsid w:val="0064668D"/>
    <w:rsid w:val="006E7C2D"/>
    <w:rsid w:val="006F5606"/>
    <w:rsid w:val="006F5B98"/>
    <w:rsid w:val="007157E0"/>
    <w:rsid w:val="0075771D"/>
    <w:rsid w:val="00787B03"/>
    <w:rsid w:val="007946C9"/>
    <w:rsid w:val="008B62D0"/>
    <w:rsid w:val="008E1BE7"/>
    <w:rsid w:val="008E1EFB"/>
    <w:rsid w:val="00900343"/>
    <w:rsid w:val="00904041"/>
    <w:rsid w:val="0090619F"/>
    <w:rsid w:val="00950126"/>
    <w:rsid w:val="00972DE2"/>
    <w:rsid w:val="009B590F"/>
    <w:rsid w:val="009E373A"/>
    <w:rsid w:val="009F5DFB"/>
    <w:rsid w:val="00A70E2D"/>
    <w:rsid w:val="00A8555A"/>
    <w:rsid w:val="00AD36F0"/>
    <w:rsid w:val="00AD7547"/>
    <w:rsid w:val="00B709F3"/>
    <w:rsid w:val="00B818F7"/>
    <w:rsid w:val="00BC59F3"/>
    <w:rsid w:val="00C17489"/>
    <w:rsid w:val="00CB3BD7"/>
    <w:rsid w:val="00CF2D7A"/>
    <w:rsid w:val="00D0149A"/>
    <w:rsid w:val="00D16B41"/>
    <w:rsid w:val="00D738A5"/>
    <w:rsid w:val="00E06875"/>
    <w:rsid w:val="00E131A7"/>
    <w:rsid w:val="00E21395"/>
    <w:rsid w:val="00E23167"/>
    <w:rsid w:val="00E568C8"/>
    <w:rsid w:val="00EA74B9"/>
    <w:rsid w:val="00EB026C"/>
    <w:rsid w:val="00F24ACF"/>
    <w:rsid w:val="00FC69F8"/>
    <w:rsid w:val="00FD130B"/>
  </w:rsids>
  <m:mathPr>
    <m:mathFont m:val="Cambria Math"/>
    <m:brkBin m:val="before"/>
    <m:brkBinSub m:val="--"/>
    <m:smallFrac m:val="0"/>
    <m:dispDef/>
    <m:lMargin m:val="0"/>
    <m:rMargin m:val="0"/>
    <m:defJc m:val="centerGroup"/>
    <m:wrapIndent m:val="1440"/>
    <m:intLim m:val="subSup"/>
    <m:naryLim m:val="undOvr"/>
  </m:mathPr>
  <w:themeFontLang w:val="de-AT"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584BE7"/>
  <w15:docId w15:val="{586EAFE5-94FC-4940-9949-C4153F942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de-AT" w:eastAsia="de-AT"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60" w:line="259" w:lineRule="auto"/>
    </w:pPr>
    <w:rPr>
      <w:sz w:val="22"/>
    </w:rPr>
  </w:style>
  <w:style w:type="paragraph" w:styleId="berschrift1">
    <w:name w:val="heading 1"/>
    <w:basedOn w:val="Standard"/>
    <w:next w:val="Standard"/>
    <w:uiPriority w:val="9"/>
    <w:qFormat/>
    <w:rsid w:val="00C36E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uiPriority w:val="9"/>
    <w:semiHidden/>
    <w:unhideWhenUsed/>
    <w:qFormat/>
    <w:rsid w:val="00967E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uiPriority w:val="9"/>
    <w:qFormat/>
    <w:rsid w:val="00C2235C"/>
    <w:pPr>
      <w:spacing w:beforeAutospacing="1" w:afterAutospacing="1" w:line="240" w:lineRule="auto"/>
      <w:outlineLvl w:val="2"/>
    </w:pPr>
    <w:rPr>
      <w:rFonts w:ascii="Times New Roman" w:eastAsia="Times New Roman" w:hAnsi="Times New Roman" w:cs="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uiPriority w:val="9"/>
    <w:qFormat/>
    <w:rsid w:val="00C2235C"/>
    <w:rPr>
      <w:rFonts w:ascii="Times New Roman" w:eastAsia="Times New Roman" w:hAnsi="Times New Roman" w:cs="Times New Roman"/>
      <w:b/>
      <w:bCs/>
      <w:sz w:val="27"/>
      <w:szCs w:val="27"/>
    </w:rPr>
  </w:style>
  <w:style w:type="character" w:styleId="Fett">
    <w:name w:val="Strong"/>
    <w:basedOn w:val="Absatz-Standardschriftart"/>
    <w:uiPriority w:val="22"/>
    <w:qFormat/>
    <w:rsid w:val="00C2235C"/>
    <w:rPr>
      <w:b/>
      <w:bCs/>
    </w:rPr>
  </w:style>
  <w:style w:type="character" w:customStyle="1" w:styleId="Internetverknpfung">
    <w:name w:val="Internetverknüpfung"/>
    <w:basedOn w:val="Absatz-Standardschriftart"/>
    <w:uiPriority w:val="99"/>
    <w:unhideWhenUsed/>
    <w:rsid w:val="00BD501E"/>
    <w:rPr>
      <w:color w:val="0000FF"/>
      <w:u w:val="single"/>
    </w:rPr>
  </w:style>
  <w:style w:type="character" w:customStyle="1" w:styleId="berschrift1Zchn">
    <w:name w:val="Überschrift 1 Zchn"/>
    <w:basedOn w:val="Absatz-Standardschriftart"/>
    <w:uiPriority w:val="9"/>
    <w:qFormat/>
    <w:rsid w:val="00C36E00"/>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uiPriority w:val="9"/>
    <w:semiHidden/>
    <w:qFormat/>
    <w:rsid w:val="00967E50"/>
    <w:rPr>
      <w:rFonts w:asciiTheme="majorHAnsi" w:eastAsiaTheme="majorEastAsia" w:hAnsiTheme="majorHAnsi" w:cstheme="majorBidi"/>
      <w:color w:val="2F5496" w:themeColor="accent1" w:themeShade="BF"/>
      <w:sz w:val="26"/>
      <w:szCs w:val="26"/>
    </w:rPr>
  </w:style>
  <w:style w:type="character" w:customStyle="1" w:styleId="NichtaufgelsteErwhnung1">
    <w:name w:val="Nicht aufgelöste Erwähnung1"/>
    <w:basedOn w:val="Absatz-Standardschriftart"/>
    <w:uiPriority w:val="99"/>
    <w:semiHidden/>
    <w:unhideWhenUsed/>
    <w:qFormat/>
    <w:rsid w:val="00967E50"/>
    <w:rPr>
      <w:color w:val="605E5C"/>
      <w:shd w:val="clear" w:color="auto" w:fill="E1DFDD"/>
    </w:rPr>
  </w:style>
  <w:style w:type="character" w:styleId="Kommentarzeichen">
    <w:name w:val="annotation reference"/>
    <w:basedOn w:val="Absatz-Standardschriftart"/>
    <w:uiPriority w:val="99"/>
    <w:semiHidden/>
    <w:unhideWhenUsed/>
    <w:qFormat/>
    <w:rsid w:val="00A41583"/>
    <w:rPr>
      <w:sz w:val="16"/>
      <w:szCs w:val="16"/>
    </w:rPr>
  </w:style>
  <w:style w:type="character" w:customStyle="1" w:styleId="KommentartextZchn">
    <w:name w:val="Kommentartext Zchn"/>
    <w:basedOn w:val="Absatz-Standardschriftart"/>
    <w:link w:val="Kommentartext"/>
    <w:uiPriority w:val="99"/>
    <w:semiHidden/>
    <w:qFormat/>
    <w:rsid w:val="00A41583"/>
    <w:rPr>
      <w:sz w:val="20"/>
      <w:szCs w:val="20"/>
    </w:rPr>
  </w:style>
  <w:style w:type="character" w:customStyle="1" w:styleId="KommentarthemaZchn">
    <w:name w:val="Kommentarthema Zchn"/>
    <w:basedOn w:val="KommentartextZchn"/>
    <w:link w:val="Kommentarthema"/>
    <w:uiPriority w:val="99"/>
    <w:semiHidden/>
    <w:qFormat/>
    <w:rsid w:val="00A41583"/>
    <w:rPr>
      <w:b/>
      <w:bCs/>
      <w:sz w:val="20"/>
      <w:szCs w:val="20"/>
    </w:rPr>
  </w:style>
  <w:style w:type="character" w:customStyle="1" w:styleId="SprechblasentextZchn">
    <w:name w:val="Sprechblasentext Zchn"/>
    <w:basedOn w:val="Absatz-Standardschriftart"/>
    <w:link w:val="Sprechblasentext"/>
    <w:uiPriority w:val="99"/>
    <w:semiHidden/>
    <w:qFormat/>
    <w:rsid w:val="00A41583"/>
    <w:rPr>
      <w:rFonts w:ascii="Segoe UI" w:hAnsi="Segoe UI" w:cs="Segoe UI"/>
      <w:sz w:val="18"/>
      <w:szCs w:val="18"/>
    </w:rPr>
  </w:style>
  <w:style w:type="paragraph" w:customStyle="1" w:styleId="berschrift">
    <w:name w:val="Überschrift"/>
    <w:basedOn w:val="Standard"/>
    <w:next w:val="Textkrper"/>
    <w:qFormat/>
    <w:pPr>
      <w:keepNext/>
      <w:spacing w:before="240" w:after="120"/>
    </w:pPr>
    <w:rPr>
      <w:rFonts w:ascii="Liberation Sans" w:eastAsia="Microsoft YaHei" w:hAnsi="Liberation Sans" w:cs="Arial"/>
      <w:sz w:val="28"/>
      <w:szCs w:val="28"/>
    </w:rPr>
  </w:style>
  <w:style w:type="paragraph" w:styleId="Textkrper">
    <w:name w:val="Body Text"/>
    <w:basedOn w:val="Standard"/>
    <w:pPr>
      <w:spacing w:after="140" w:line="276" w:lineRule="auto"/>
    </w:p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Verzeichnis">
    <w:name w:val="Verzeichnis"/>
    <w:basedOn w:val="Standard"/>
    <w:qFormat/>
    <w:pPr>
      <w:suppressLineNumbers/>
    </w:pPr>
    <w:rPr>
      <w:rFonts w:cs="Arial"/>
    </w:rPr>
  </w:style>
  <w:style w:type="paragraph" w:customStyle="1" w:styleId="Homepage1">
    <w:name w:val="Homepage 1"/>
    <w:basedOn w:val="Standard"/>
    <w:qFormat/>
    <w:rsid w:val="003262E7"/>
    <w:pPr>
      <w:spacing w:after="0" w:line="240" w:lineRule="auto"/>
      <w:contextualSpacing/>
      <w:jc w:val="both"/>
    </w:pPr>
    <w:rPr>
      <w:rFonts w:ascii="Calibri" w:eastAsiaTheme="minorEastAsia" w:hAnsi="Calibri" w:cs="Calibri"/>
      <w:color w:val="595959" w:themeColor="text1" w:themeTint="A6"/>
      <w:lang w:val="de-DE" w:eastAsia="en-US"/>
    </w:rPr>
  </w:style>
  <w:style w:type="paragraph" w:styleId="StandardWeb">
    <w:name w:val="Normal (Web)"/>
    <w:basedOn w:val="Standard"/>
    <w:uiPriority w:val="99"/>
    <w:unhideWhenUsed/>
    <w:qFormat/>
    <w:rsid w:val="00397C8C"/>
    <w:pPr>
      <w:spacing w:beforeAutospacing="1" w:afterAutospacing="1" w:line="240" w:lineRule="auto"/>
    </w:pPr>
    <w:rPr>
      <w:rFonts w:ascii="Times New Roman" w:eastAsia="Times New Roman" w:hAnsi="Times New Roman" w:cs="Times New Roman"/>
      <w:sz w:val="24"/>
      <w:szCs w:val="24"/>
    </w:rPr>
  </w:style>
  <w:style w:type="paragraph" w:styleId="Listenabsatz">
    <w:name w:val="List Paragraph"/>
    <w:basedOn w:val="Standard"/>
    <w:uiPriority w:val="99"/>
    <w:qFormat/>
    <w:rsid w:val="002666C5"/>
    <w:pPr>
      <w:ind w:left="720"/>
      <w:contextualSpacing/>
    </w:pPr>
  </w:style>
  <w:style w:type="paragraph" w:styleId="Kommentartext">
    <w:name w:val="annotation text"/>
    <w:basedOn w:val="Standard"/>
    <w:link w:val="KommentartextZchn"/>
    <w:uiPriority w:val="99"/>
    <w:semiHidden/>
    <w:unhideWhenUsed/>
    <w:qFormat/>
    <w:rsid w:val="00A41583"/>
    <w:pPr>
      <w:spacing w:line="240" w:lineRule="auto"/>
    </w:pPr>
    <w:rPr>
      <w:sz w:val="20"/>
      <w:szCs w:val="20"/>
    </w:rPr>
  </w:style>
  <w:style w:type="paragraph" w:styleId="Kommentarthema">
    <w:name w:val="annotation subject"/>
    <w:basedOn w:val="Kommentartext"/>
    <w:next w:val="Kommentartext"/>
    <w:link w:val="KommentarthemaZchn"/>
    <w:uiPriority w:val="99"/>
    <w:semiHidden/>
    <w:unhideWhenUsed/>
    <w:qFormat/>
    <w:rsid w:val="00A41583"/>
    <w:rPr>
      <w:b/>
      <w:bCs/>
    </w:rPr>
  </w:style>
  <w:style w:type="paragraph" w:styleId="Sprechblasentext">
    <w:name w:val="Balloon Text"/>
    <w:basedOn w:val="Standard"/>
    <w:link w:val="SprechblasentextZchn"/>
    <w:uiPriority w:val="99"/>
    <w:semiHidden/>
    <w:unhideWhenUsed/>
    <w:qFormat/>
    <w:rsid w:val="00A41583"/>
    <w:pPr>
      <w:spacing w:after="0" w:line="240" w:lineRule="auto"/>
    </w:pPr>
    <w:rPr>
      <w:rFonts w:ascii="Segoe UI" w:hAnsi="Segoe UI" w:cs="Segoe UI"/>
      <w:sz w:val="18"/>
      <w:szCs w:val="18"/>
    </w:rPr>
  </w:style>
  <w:style w:type="paragraph" w:styleId="Kopfzeile">
    <w:name w:val="header"/>
    <w:basedOn w:val="Standard"/>
    <w:link w:val="KopfzeileZchn"/>
    <w:uiPriority w:val="99"/>
    <w:unhideWhenUsed/>
    <w:rsid w:val="0033541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3541A"/>
    <w:rPr>
      <w:sz w:val="22"/>
    </w:rPr>
  </w:style>
  <w:style w:type="paragraph" w:styleId="Fuzeile">
    <w:name w:val="footer"/>
    <w:basedOn w:val="Standard"/>
    <w:link w:val="FuzeileZchn"/>
    <w:uiPriority w:val="99"/>
    <w:unhideWhenUsed/>
    <w:rsid w:val="0033541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3541A"/>
    <w:rPr>
      <w:sz w:val="22"/>
    </w:rPr>
  </w:style>
  <w:style w:type="paragraph" w:styleId="NurText">
    <w:name w:val="Plain Text"/>
    <w:basedOn w:val="Standard"/>
    <w:link w:val="NurTextZchn"/>
    <w:uiPriority w:val="99"/>
    <w:semiHidden/>
    <w:unhideWhenUsed/>
    <w:rsid w:val="00E21395"/>
    <w:pPr>
      <w:suppressAutoHyphens w:val="0"/>
      <w:spacing w:after="0" w:line="240" w:lineRule="auto"/>
    </w:pPr>
    <w:rPr>
      <w:rFonts w:ascii="Calibri" w:hAnsi="Calibri"/>
      <w:szCs w:val="21"/>
      <w:lang w:eastAsia="en-US"/>
    </w:rPr>
  </w:style>
  <w:style w:type="character" w:customStyle="1" w:styleId="NurTextZchn">
    <w:name w:val="Nur Text Zchn"/>
    <w:basedOn w:val="Absatz-Standardschriftart"/>
    <w:link w:val="NurText"/>
    <w:uiPriority w:val="99"/>
    <w:semiHidden/>
    <w:rsid w:val="00E21395"/>
    <w:rPr>
      <w:rFonts w:ascii="Calibri" w:hAnsi="Calibri"/>
      <w:sz w:val="22"/>
      <w:szCs w:val="21"/>
      <w:lang w:eastAsia="en-US"/>
    </w:rPr>
  </w:style>
  <w:style w:type="table" w:styleId="Tabellenraster">
    <w:name w:val="Table Grid"/>
    <w:basedOn w:val="NormaleTabelle"/>
    <w:uiPriority w:val="39"/>
    <w:rsid w:val="001D7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572B5B-C174-4AFF-A022-26ECDD2A3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332</Words>
  <Characters>2096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Werner Lux</dc:creator>
  <dc:description/>
  <cp:lastModifiedBy>Werner Lux</cp:lastModifiedBy>
  <cp:revision>84</cp:revision>
  <cp:lastPrinted>2021-01-14T11:32:00Z</cp:lastPrinted>
  <dcterms:created xsi:type="dcterms:W3CDTF">2020-06-07T13:31:00Z</dcterms:created>
  <dcterms:modified xsi:type="dcterms:W3CDTF">2021-10-14T12:48:00Z</dcterms:modified>
  <dc:language>de-AT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