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7F4" w14:textId="437EF7BD" w:rsidR="00DC5407" w:rsidRPr="005E5892" w:rsidRDefault="00DC5407" w:rsidP="00AE42CC">
      <w:pPr>
        <w:spacing w:after="360" w:line="276" w:lineRule="auto"/>
        <w:jc w:val="center"/>
        <w:rPr>
          <w:rFonts w:eastAsia="Times New Roman" w:cstheme="minorHAnsi"/>
          <w:b/>
          <w:bCs/>
          <w:color w:val="C00000"/>
          <w:sz w:val="36"/>
          <w:szCs w:val="36"/>
        </w:rPr>
      </w:pPr>
      <w:r w:rsidRPr="005E5892">
        <w:rPr>
          <w:rStyle w:val="Fett"/>
          <w:rFonts w:eastAsia="Times New Roman" w:cstheme="minorHAnsi"/>
          <w:color w:val="C00000"/>
          <w:sz w:val="36"/>
          <w:szCs w:val="36"/>
        </w:rPr>
        <w:t xml:space="preserve">Die </w:t>
      </w:r>
      <w:r w:rsidR="00FD1DF7" w:rsidRPr="005E5892">
        <w:rPr>
          <w:rStyle w:val="Fett"/>
          <w:rFonts w:eastAsia="Times New Roman" w:cstheme="minorHAnsi"/>
          <w:color w:val="C00000"/>
          <w:sz w:val="36"/>
          <w:szCs w:val="36"/>
        </w:rPr>
        <w:t xml:space="preserve">Rechtsprechung zur Richtigkeit der </w:t>
      </w:r>
      <w:r w:rsidR="00AD41BB" w:rsidRPr="005E5892">
        <w:rPr>
          <w:rStyle w:val="Fett"/>
          <w:rFonts w:eastAsia="Times New Roman" w:cstheme="minorHAnsi"/>
          <w:color w:val="C00000"/>
          <w:sz w:val="36"/>
          <w:szCs w:val="36"/>
        </w:rPr>
        <w:t>E</w:t>
      </w:r>
      <w:r w:rsidR="00FD1DF7" w:rsidRPr="005E5892">
        <w:rPr>
          <w:rStyle w:val="Fett"/>
          <w:rFonts w:eastAsia="Times New Roman" w:cstheme="minorHAnsi"/>
          <w:color w:val="C00000"/>
          <w:sz w:val="36"/>
          <w:szCs w:val="36"/>
        </w:rPr>
        <w:t>intragungen im historischen Grundbuch:</w:t>
      </w:r>
    </w:p>
    <w:p w14:paraId="45B4207B" w14:textId="207F6FD9" w:rsidR="005E5892" w:rsidRPr="005E5892" w:rsidRDefault="005E5892" w:rsidP="005E5892">
      <w:pPr>
        <w:pStyle w:val="Listenabsatz"/>
        <w:numPr>
          <w:ilvl w:val="0"/>
          <w:numId w:val="10"/>
        </w:numPr>
        <w:spacing w:after="240" w:line="276" w:lineRule="auto"/>
        <w:ind w:left="357" w:hanging="357"/>
        <w:rPr>
          <w:b/>
          <w:bCs/>
          <w:sz w:val="28"/>
          <w:szCs w:val="28"/>
        </w:rPr>
      </w:pPr>
      <w:r w:rsidRPr="005E5892">
        <w:rPr>
          <w:b/>
          <w:bCs/>
          <w:sz w:val="28"/>
          <w:szCs w:val="28"/>
        </w:rPr>
        <w:t>Gemeindegut und Gemeindevermögen</w:t>
      </w:r>
    </w:p>
    <w:p w14:paraId="7113BE11" w14:textId="2A3739ED" w:rsidR="00AE42CC" w:rsidRPr="005E5892" w:rsidRDefault="00001B81" w:rsidP="005E5892">
      <w:pPr>
        <w:spacing w:line="276" w:lineRule="auto"/>
        <w:rPr>
          <w:sz w:val="24"/>
          <w:szCs w:val="24"/>
        </w:rPr>
      </w:pPr>
      <w:r w:rsidRPr="005E5892">
        <w:rPr>
          <w:sz w:val="24"/>
          <w:szCs w:val="24"/>
        </w:rPr>
        <w:t xml:space="preserve">Der Terminus </w:t>
      </w:r>
      <w:r w:rsidRPr="005E5892">
        <w:rPr>
          <w:b/>
          <w:bCs/>
          <w:sz w:val="24"/>
          <w:szCs w:val="24"/>
        </w:rPr>
        <w:t>Gemeindegut</w:t>
      </w:r>
      <w:r w:rsidRPr="005E5892">
        <w:rPr>
          <w:sz w:val="24"/>
          <w:szCs w:val="24"/>
        </w:rPr>
        <w:t xml:space="preserve"> stammt aus der Tiroler Gemeindeordnung (TGO). Erstmals wurde im provisorischen Gemeindegesetz von 1849 eine Trennung zwischen Gemeinde</w:t>
      </w:r>
      <w:r w:rsidRPr="005E5892">
        <w:rPr>
          <w:sz w:val="24"/>
          <w:szCs w:val="24"/>
        </w:rPr>
        <w:softHyphen/>
        <w:t>ver</w:t>
      </w:r>
      <w:r w:rsidRPr="005E5892">
        <w:rPr>
          <w:sz w:val="24"/>
          <w:szCs w:val="24"/>
        </w:rPr>
        <w:softHyphen/>
        <w:t>mögen und Gemeindegut vollzogen, allerdings ohne eine Definition de</w:t>
      </w:r>
      <w:r w:rsidR="00A67D07">
        <w:rPr>
          <w:sz w:val="24"/>
          <w:szCs w:val="24"/>
        </w:rPr>
        <w:t>r beiden</w:t>
      </w:r>
      <w:r w:rsidRPr="005E5892">
        <w:rPr>
          <w:sz w:val="24"/>
          <w:szCs w:val="24"/>
        </w:rPr>
        <w:t xml:space="preserve"> Begriffspaare zu liefern. Aus dem Gesetzestext wurde aber deutlich, dass sowohl das Gemeindegut als auch das Gemeindevermögen im Eigentum der jeweiligen Gemeinde, nicht aber der einzel</w:t>
      </w:r>
      <w:r w:rsidR="00A67D07">
        <w:rPr>
          <w:sz w:val="24"/>
          <w:szCs w:val="24"/>
        </w:rPr>
        <w:softHyphen/>
      </w:r>
      <w:r w:rsidRPr="005E5892">
        <w:rPr>
          <w:sz w:val="24"/>
          <w:szCs w:val="24"/>
        </w:rPr>
        <w:t>nen Ge</w:t>
      </w:r>
      <w:r w:rsidR="008C4DCA" w:rsidRPr="005E5892">
        <w:rPr>
          <w:sz w:val="24"/>
          <w:szCs w:val="24"/>
        </w:rPr>
        <w:softHyphen/>
      </w:r>
      <w:r w:rsidRPr="005E5892">
        <w:rPr>
          <w:sz w:val="24"/>
          <w:szCs w:val="24"/>
        </w:rPr>
        <w:t>meinde</w:t>
      </w:r>
      <w:r w:rsidR="00A67D07">
        <w:rPr>
          <w:sz w:val="24"/>
          <w:szCs w:val="24"/>
        </w:rPr>
        <w:t>m</w:t>
      </w:r>
      <w:r w:rsidRPr="005E5892">
        <w:rPr>
          <w:sz w:val="24"/>
          <w:szCs w:val="24"/>
        </w:rPr>
        <w:t xml:space="preserve">itglieder stand. </w:t>
      </w:r>
    </w:p>
    <w:p w14:paraId="3AA16109" w14:textId="26E85E78" w:rsidR="00AE42CC" w:rsidRDefault="000E3F2C" w:rsidP="00AE42CC">
      <w:pPr>
        <w:spacing w:line="276" w:lineRule="auto"/>
        <w:rPr>
          <w:sz w:val="24"/>
          <w:szCs w:val="24"/>
        </w:rPr>
      </w:pPr>
      <w:r w:rsidRPr="000E3F2C">
        <w:rPr>
          <w:i/>
          <w:iCs/>
          <w:sz w:val="24"/>
          <w:szCs w:val="24"/>
        </w:rPr>
        <w:t>Das</w:t>
      </w:r>
      <w:r w:rsidR="00001B81" w:rsidRPr="00AE42CC">
        <w:rPr>
          <w:sz w:val="24"/>
          <w:szCs w:val="24"/>
        </w:rPr>
        <w:t xml:space="preserve"> Charakteristikum des </w:t>
      </w:r>
      <w:r w:rsidR="00001B81" w:rsidRPr="00AE42CC">
        <w:rPr>
          <w:b/>
          <w:bCs/>
          <w:sz w:val="24"/>
          <w:szCs w:val="24"/>
        </w:rPr>
        <w:t>Gemeindegutes</w:t>
      </w:r>
      <w:r w:rsidR="00001B81" w:rsidRPr="00AE42CC">
        <w:rPr>
          <w:sz w:val="24"/>
          <w:szCs w:val="24"/>
        </w:rPr>
        <w:t xml:space="preserve"> war die Belastung</w:t>
      </w:r>
      <w:r w:rsidR="00A67D07">
        <w:rPr>
          <w:sz w:val="24"/>
          <w:szCs w:val="24"/>
        </w:rPr>
        <w:t xml:space="preserve"> von Gemeindegrund</w:t>
      </w:r>
      <w:r w:rsidR="00001B81" w:rsidRPr="00AE42CC">
        <w:rPr>
          <w:sz w:val="24"/>
          <w:szCs w:val="24"/>
        </w:rPr>
        <w:t xml:space="preserve"> mit Nutzungsrechten von min</w:t>
      </w:r>
      <w:r w:rsidR="005E5892">
        <w:rPr>
          <w:sz w:val="24"/>
          <w:szCs w:val="24"/>
        </w:rPr>
        <w:softHyphen/>
      </w:r>
      <w:r w:rsidR="00001B81" w:rsidRPr="00AE42CC">
        <w:rPr>
          <w:sz w:val="24"/>
          <w:szCs w:val="24"/>
        </w:rPr>
        <w:t xml:space="preserve">destens zwei Nutzungsberechtigten, während das </w:t>
      </w:r>
      <w:r w:rsidR="00001B81" w:rsidRPr="00AE42CC">
        <w:rPr>
          <w:b/>
          <w:bCs/>
          <w:sz w:val="24"/>
          <w:szCs w:val="24"/>
        </w:rPr>
        <w:t>Gemeindever</w:t>
      </w:r>
      <w:r w:rsidR="008C4DCA" w:rsidRPr="00AE42CC">
        <w:rPr>
          <w:b/>
          <w:bCs/>
          <w:sz w:val="24"/>
          <w:szCs w:val="24"/>
        </w:rPr>
        <w:softHyphen/>
      </w:r>
      <w:r w:rsidR="00001B81" w:rsidRPr="00AE42CC">
        <w:rPr>
          <w:b/>
          <w:bCs/>
          <w:sz w:val="24"/>
          <w:szCs w:val="24"/>
        </w:rPr>
        <w:t>mögen</w:t>
      </w:r>
      <w:r w:rsidR="00001B81" w:rsidRPr="00AE42CC">
        <w:rPr>
          <w:sz w:val="24"/>
          <w:szCs w:val="24"/>
        </w:rPr>
        <w:t xml:space="preserve"> unbelastet im Eigen</w:t>
      </w:r>
      <w:r w:rsidR="005E5892">
        <w:rPr>
          <w:sz w:val="24"/>
          <w:szCs w:val="24"/>
        </w:rPr>
        <w:softHyphen/>
      </w:r>
      <w:r w:rsidR="00001B81" w:rsidRPr="00AE42CC">
        <w:rPr>
          <w:sz w:val="24"/>
          <w:szCs w:val="24"/>
        </w:rPr>
        <w:t xml:space="preserve">tum der Gemeinde stand. </w:t>
      </w:r>
      <w:r w:rsidR="008C4DCA" w:rsidRPr="00AE42CC">
        <w:rPr>
          <w:sz w:val="24"/>
          <w:szCs w:val="24"/>
        </w:rPr>
        <w:t>§</w:t>
      </w:r>
      <w:r w:rsidR="00001B81" w:rsidRPr="00AE42CC">
        <w:rPr>
          <w:sz w:val="24"/>
          <w:szCs w:val="24"/>
        </w:rPr>
        <w:t xml:space="preserve"> 75 der </w:t>
      </w:r>
      <w:r w:rsidR="008C4DCA" w:rsidRPr="00AE42CC">
        <w:rPr>
          <w:sz w:val="24"/>
          <w:szCs w:val="24"/>
        </w:rPr>
        <w:t>P</w:t>
      </w:r>
      <w:r w:rsidR="00001B81" w:rsidRPr="00AE42CC">
        <w:rPr>
          <w:sz w:val="24"/>
          <w:szCs w:val="24"/>
        </w:rPr>
        <w:t>rovisorischen Gemeinde</w:t>
      </w:r>
      <w:r w:rsidR="008C4DCA" w:rsidRPr="00AE42CC">
        <w:rPr>
          <w:sz w:val="24"/>
          <w:szCs w:val="24"/>
        </w:rPr>
        <w:t>o</w:t>
      </w:r>
      <w:r w:rsidR="00001B81" w:rsidRPr="00AE42CC">
        <w:rPr>
          <w:sz w:val="24"/>
          <w:szCs w:val="24"/>
        </w:rPr>
        <w:t>rd</w:t>
      </w:r>
      <w:r w:rsidR="008C4DCA" w:rsidRPr="00AE42CC">
        <w:rPr>
          <w:sz w:val="24"/>
          <w:szCs w:val="24"/>
        </w:rPr>
        <w:softHyphen/>
      </w:r>
      <w:r w:rsidR="00001B81" w:rsidRPr="00AE42CC">
        <w:rPr>
          <w:sz w:val="24"/>
          <w:szCs w:val="24"/>
        </w:rPr>
        <w:t xml:space="preserve">nung legt fest, dass </w:t>
      </w:r>
      <w:r w:rsidR="008C4DCA" w:rsidRPr="00AE42CC">
        <w:rPr>
          <w:sz w:val="24"/>
          <w:szCs w:val="24"/>
        </w:rPr>
        <w:t>„</w:t>
      </w:r>
      <w:r w:rsidR="00001B81" w:rsidRPr="00AE42CC">
        <w:rPr>
          <w:i/>
          <w:iCs/>
          <w:sz w:val="24"/>
          <w:szCs w:val="24"/>
        </w:rPr>
        <w:t>kein berechtigtes Gemeindeglied aus dem Gemeinde</w:t>
      </w:r>
      <w:r w:rsidR="008C4DCA" w:rsidRPr="00AE42CC">
        <w:rPr>
          <w:i/>
          <w:iCs/>
          <w:sz w:val="24"/>
          <w:szCs w:val="24"/>
        </w:rPr>
        <w:t>g</w:t>
      </w:r>
      <w:r w:rsidR="00001B81" w:rsidRPr="00AE42CC">
        <w:rPr>
          <w:i/>
          <w:iCs/>
          <w:sz w:val="24"/>
          <w:szCs w:val="24"/>
        </w:rPr>
        <w:t>ute einen größe</w:t>
      </w:r>
      <w:r w:rsidR="008C4DCA" w:rsidRPr="00AE42CC">
        <w:rPr>
          <w:i/>
          <w:iCs/>
          <w:sz w:val="24"/>
          <w:szCs w:val="24"/>
        </w:rPr>
        <w:softHyphen/>
      </w:r>
      <w:r w:rsidR="00001B81" w:rsidRPr="00AE42CC">
        <w:rPr>
          <w:i/>
          <w:iCs/>
          <w:sz w:val="24"/>
          <w:szCs w:val="24"/>
        </w:rPr>
        <w:t>ren Nutzen ziehe, als zur Deckung seines Bedarfs notwendig ist</w:t>
      </w:r>
      <w:r w:rsidR="00001B81" w:rsidRPr="00AE42CC">
        <w:rPr>
          <w:sz w:val="24"/>
          <w:szCs w:val="24"/>
        </w:rPr>
        <w:t xml:space="preserve">. </w:t>
      </w:r>
      <w:r w:rsidR="00001B81" w:rsidRPr="00AE42CC">
        <w:rPr>
          <w:i/>
          <w:iCs/>
          <w:sz w:val="24"/>
          <w:szCs w:val="24"/>
        </w:rPr>
        <w:t>Jede nach der Deckung des Bedarfs er</w:t>
      </w:r>
      <w:r w:rsidR="008C4DCA" w:rsidRPr="00AE42CC">
        <w:rPr>
          <w:i/>
          <w:iCs/>
          <w:sz w:val="24"/>
          <w:szCs w:val="24"/>
        </w:rPr>
        <w:t>ü</w:t>
      </w:r>
      <w:r w:rsidR="00001B81" w:rsidRPr="00AE42CC">
        <w:rPr>
          <w:i/>
          <w:iCs/>
          <w:sz w:val="24"/>
          <w:szCs w:val="24"/>
        </w:rPr>
        <w:t>brigen</w:t>
      </w:r>
      <w:r w:rsidR="008C4DCA" w:rsidRPr="00AE42CC">
        <w:rPr>
          <w:i/>
          <w:iCs/>
          <w:sz w:val="24"/>
          <w:szCs w:val="24"/>
        </w:rPr>
        <w:t>de</w:t>
      </w:r>
      <w:r w:rsidR="00001B81" w:rsidRPr="00AE42CC">
        <w:rPr>
          <w:i/>
          <w:iCs/>
          <w:sz w:val="24"/>
          <w:szCs w:val="24"/>
        </w:rPr>
        <w:t xml:space="preserve"> Nutzung hat eine Rente für die Gemeinde Kasse zu bilden.</w:t>
      </w:r>
      <w:r w:rsidR="008C4DCA" w:rsidRPr="00AE42CC">
        <w:rPr>
          <w:i/>
          <w:iCs/>
          <w:sz w:val="24"/>
          <w:szCs w:val="24"/>
        </w:rPr>
        <w:t>“</w:t>
      </w:r>
      <w:r w:rsidR="00001B81" w:rsidRPr="00AE42CC">
        <w:rPr>
          <w:sz w:val="24"/>
          <w:szCs w:val="24"/>
        </w:rPr>
        <w:t xml:space="preserve"> (</w:t>
      </w:r>
      <w:r w:rsidR="00A67D07">
        <w:rPr>
          <w:sz w:val="24"/>
          <w:szCs w:val="24"/>
        </w:rPr>
        <w:t>K</w:t>
      </w:r>
      <w:r w:rsidR="00001B81" w:rsidRPr="00AE42CC">
        <w:rPr>
          <w:sz w:val="24"/>
          <w:szCs w:val="24"/>
        </w:rPr>
        <w:t>aiserliches Patent vom 17.3.1849, RGB</w:t>
      </w:r>
      <w:r w:rsidR="008C4DCA" w:rsidRPr="00AE42CC">
        <w:rPr>
          <w:sz w:val="24"/>
          <w:szCs w:val="24"/>
        </w:rPr>
        <w:t>l</w:t>
      </w:r>
      <w:r w:rsidR="00001B81" w:rsidRPr="00AE42CC">
        <w:rPr>
          <w:sz w:val="24"/>
          <w:szCs w:val="24"/>
        </w:rPr>
        <w:t xml:space="preserve"> </w:t>
      </w:r>
      <w:r w:rsidR="008C4DCA" w:rsidRPr="00AE42CC">
        <w:rPr>
          <w:sz w:val="24"/>
          <w:szCs w:val="24"/>
        </w:rPr>
        <w:t>Nr.</w:t>
      </w:r>
      <w:r w:rsidR="00001B81" w:rsidRPr="00AE42CC">
        <w:rPr>
          <w:sz w:val="24"/>
          <w:szCs w:val="24"/>
        </w:rPr>
        <w:t xml:space="preserve"> 170/1849 </w:t>
      </w:r>
      <w:r w:rsidR="008C4DCA" w:rsidRPr="00AE42CC">
        <w:rPr>
          <w:sz w:val="24"/>
          <w:szCs w:val="24"/>
        </w:rPr>
        <w:t>§</w:t>
      </w:r>
      <w:r w:rsidR="00001B81" w:rsidRPr="00AE42CC">
        <w:rPr>
          <w:sz w:val="24"/>
          <w:szCs w:val="24"/>
        </w:rPr>
        <w:t xml:space="preserve"> 75). Das Gemeindegut sollte also neben den Inhabern der Stammsitz</w:t>
      </w:r>
      <w:r w:rsidR="008C4DCA" w:rsidRPr="00AE42CC">
        <w:rPr>
          <w:sz w:val="24"/>
          <w:szCs w:val="24"/>
        </w:rPr>
        <w:t>l</w:t>
      </w:r>
      <w:r w:rsidR="00001B81" w:rsidRPr="00AE42CC">
        <w:rPr>
          <w:sz w:val="24"/>
          <w:szCs w:val="24"/>
        </w:rPr>
        <w:t>iegenschaften allen berechtigten Gemeindemitgliedern zu</w:t>
      </w:r>
      <w:r w:rsidR="008C4DCA" w:rsidRPr="00AE42CC">
        <w:rPr>
          <w:sz w:val="24"/>
          <w:szCs w:val="24"/>
        </w:rPr>
        <w:t>g</w:t>
      </w:r>
      <w:r w:rsidR="00001B81" w:rsidRPr="00AE42CC">
        <w:rPr>
          <w:sz w:val="24"/>
          <w:szCs w:val="24"/>
        </w:rPr>
        <w:t>ute</w:t>
      </w:r>
      <w:r w:rsidR="003230FC">
        <w:rPr>
          <w:sz w:val="24"/>
          <w:szCs w:val="24"/>
        </w:rPr>
        <w:softHyphen/>
      </w:r>
      <w:r w:rsidR="00001B81" w:rsidRPr="00AE42CC">
        <w:rPr>
          <w:sz w:val="24"/>
          <w:szCs w:val="24"/>
        </w:rPr>
        <w:t>kommen. Die erste Tiroler Gemeinde</w:t>
      </w:r>
      <w:r w:rsidR="008C4DCA" w:rsidRPr="00AE42CC">
        <w:rPr>
          <w:sz w:val="24"/>
          <w:szCs w:val="24"/>
        </w:rPr>
        <w:t>o</w:t>
      </w:r>
      <w:r w:rsidR="00001B81" w:rsidRPr="00AE42CC">
        <w:rPr>
          <w:sz w:val="24"/>
          <w:szCs w:val="24"/>
        </w:rPr>
        <w:t>rdnung aus dem Jahr 1866</w:t>
      </w:r>
      <w:r w:rsidR="008C4DCA" w:rsidRPr="00AE42CC">
        <w:rPr>
          <w:sz w:val="24"/>
          <w:szCs w:val="24"/>
        </w:rPr>
        <w:t xml:space="preserve"> w</w:t>
      </w:r>
      <w:r w:rsidR="00001B81" w:rsidRPr="00AE42CC">
        <w:rPr>
          <w:sz w:val="24"/>
          <w:szCs w:val="24"/>
        </w:rPr>
        <w:t>iederholte die Bestim</w:t>
      </w:r>
      <w:r w:rsidR="008C4DCA" w:rsidRPr="00AE42CC">
        <w:rPr>
          <w:sz w:val="24"/>
          <w:szCs w:val="24"/>
        </w:rPr>
        <w:softHyphen/>
      </w:r>
      <w:r w:rsidR="00001B81" w:rsidRPr="00AE42CC">
        <w:rPr>
          <w:sz w:val="24"/>
          <w:szCs w:val="24"/>
        </w:rPr>
        <w:t xml:space="preserve">mungen von 1849 </w:t>
      </w:r>
      <w:r w:rsidR="00001B81" w:rsidRPr="00F4038D">
        <w:rPr>
          <w:sz w:val="24"/>
          <w:szCs w:val="24"/>
        </w:rPr>
        <w:t>(</w:t>
      </w:r>
      <w:hyperlink r:id="rId8" w:history="1">
        <w:r w:rsidR="00AE42CC" w:rsidRPr="003F6378">
          <w:rPr>
            <w:rStyle w:val="Hyperlink"/>
            <w:rFonts w:cstheme="minorHAnsi"/>
            <w:sz w:val="24"/>
            <w:szCs w:val="24"/>
          </w:rPr>
          <w:t>Siegl, Die Entstehung der Agrargemeinschaften in Tirol unter besonderer Berücksichtigung der Gemein</w:t>
        </w:r>
        <w:r w:rsidR="005E5892" w:rsidRPr="003F6378">
          <w:rPr>
            <w:rStyle w:val="Hyperlink"/>
            <w:rFonts w:cstheme="minorHAnsi"/>
            <w:sz w:val="24"/>
            <w:szCs w:val="24"/>
          </w:rPr>
          <w:softHyphen/>
        </w:r>
        <w:r w:rsidR="00AE42CC" w:rsidRPr="003F6378">
          <w:rPr>
            <w:rStyle w:val="Hyperlink"/>
            <w:rFonts w:cstheme="minorHAnsi"/>
            <w:sz w:val="24"/>
            <w:szCs w:val="24"/>
          </w:rPr>
          <w:t>degutsagrargemeinschaften [2009], S. 225</w:t>
        </w:r>
      </w:hyperlink>
      <w:r w:rsidR="00AE42CC" w:rsidRPr="00F4038D">
        <w:rPr>
          <w:rStyle w:val="Fett"/>
          <w:rFonts w:cstheme="minorHAnsi"/>
          <w:b w:val="0"/>
          <w:bCs w:val="0"/>
          <w:color w:val="FF0000"/>
          <w:sz w:val="24"/>
          <w:szCs w:val="24"/>
        </w:rPr>
        <w:t xml:space="preserve"> </w:t>
      </w:r>
      <w:r w:rsidR="00AE42CC" w:rsidRPr="00F4038D">
        <w:rPr>
          <w:rStyle w:val="Fett"/>
          <w:rFonts w:cstheme="minorHAnsi"/>
          <w:b w:val="0"/>
          <w:bCs w:val="0"/>
          <w:sz w:val="24"/>
          <w:szCs w:val="24"/>
        </w:rPr>
        <w:t>(veröff. im Jahrbuch für Geschichte des ländlichen Raumes 6 [2009], S. 218 – 240)</w:t>
      </w:r>
      <w:r w:rsidR="00001B81" w:rsidRPr="00F4038D">
        <w:rPr>
          <w:sz w:val="24"/>
          <w:szCs w:val="24"/>
        </w:rPr>
        <w:t>)</w:t>
      </w:r>
      <w:r w:rsidR="00001B81" w:rsidRPr="00AE42CC">
        <w:rPr>
          <w:sz w:val="24"/>
          <w:szCs w:val="24"/>
        </w:rPr>
        <w:t>.</w:t>
      </w:r>
    </w:p>
    <w:p w14:paraId="4765A478" w14:textId="77777777" w:rsidR="005E5892" w:rsidRPr="00AE42CC" w:rsidRDefault="005E5892" w:rsidP="00AE42CC">
      <w:pPr>
        <w:spacing w:line="276" w:lineRule="auto"/>
        <w:rPr>
          <w:i/>
          <w:iCs/>
        </w:rPr>
      </w:pPr>
    </w:p>
    <w:p w14:paraId="1EAB2A35" w14:textId="311A2B33" w:rsidR="005E5892" w:rsidRPr="005E5892" w:rsidRDefault="005E5892" w:rsidP="005E5892">
      <w:pPr>
        <w:pStyle w:val="Listenabsatz"/>
        <w:numPr>
          <w:ilvl w:val="0"/>
          <w:numId w:val="10"/>
        </w:numPr>
        <w:spacing w:after="240" w:line="276" w:lineRule="auto"/>
        <w:ind w:left="357" w:hanging="357"/>
        <w:contextualSpacing w:val="0"/>
        <w:rPr>
          <w:b/>
          <w:bCs/>
          <w:sz w:val="28"/>
          <w:szCs w:val="28"/>
        </w:rPr>
      </w:pPr>
      <w:bookmarkStart w:id="0" w:name="_Hlk81147155"/>
      <w:r w:rsidRPr="005E5892">
        <w:rPr>
          <w:b/>
          <w:bCs/>
          <w:sz w:val="28"/>
          <w:szCs w:val="28"/>
        </w:rPr>
        <w:t xml:space="preserve">Eigentümerin des Gemeindegutes ist </w:t>
      </w:r>
      <w:r w:rsidR="001E32DE">
        <w:rPr>
          <w:b/>
          <w:bCs/>
          <w:sz w:val="28"/>
          <w:szCs w:val="28"/>
        </w:rPr>
        <w:t xml:space="preserve">und war </w:t>
      </w:r>
      <w:r w:rsidRPr="005E5892">
        <w:rPr>
          <w:b/>
          <w:bCs/>
          <w:sz w:val="28"/>
          <w:szCs w:val="28"/>
        </w:rPr>
        <w:t>seit jeher die Gemeinde</w:t>
      </w:r>
    </w:p>
    <w:p w14:paraId="0B5B9416" w14:textId="64DFE888" w:rsidR="0027316E" w:rsidRPr="00AD41BB" w:rsidRDefault="00FD1DF7" w:rsidP="00BB1CEB">
      <w:pPr>
        <w:pStyle w:val="Listenabsatz"/>
        <w:spacing w:after="180" w:line="276" w:lineRule="auto"/>
        <w:ind w:left="0"/>
        <w:contextualSpacing w:val="0"/>
        <w:rPr>
          <w:sz w:val="24"/>
          <w:szCs w:val="24"/>
        </w:rPr>
      </w:pPr>
      <w:bookmarkStart w:id="1" w:name="_Hlk81145885"/>
      <w:bookmarkEnd w:id="0"/>
      <w:r>
        <w:rPr>
          <w:sz w:val="24"/>
          <w:szCs w:val="24"/>
        </w:rPr>
        <w:t xml:space="preserve">Von </w:t>
      </w:r>
      <w:r w:rsidR="0067023B">
        <w:rPr>
          <w:sz w:val="24"/>
          <w:szCs w:val="24"/>
        </w:rPr>
        <w:t>bäuerlicher Seite</w:t>
      </w:r>
      <w:r w:rsidR="00560E1E">
        <w:rPr>
          <w:sz w:val="24"/>
          <w:szCs w:val="24"/>
        </w:rPr>
        <w:t xml:space="preserve">, </w:t>
      </w:r>
      <w:r w:rsidR="00DC5407">
        <w:rPr>
          <w:sz w:val="24"/>
          <w:szCs w:val="24"/>
        </w:rPr>
        <w:t xml:space="preserve">insbesondere auch von </w:t>
      </w:r>
      <w:r w:rsidR="00560E1E">
        <w:rPr>
          <w:sz w:val="24"/>
          <w:szCs w:val="24"/>
        </w:rPr>
        <w:t>den</w:t>
      </w:r>
      <w:r w:rsidR="00DC5407">
        <w:rPr>
          <w:sz w:val="24"/>
          <w:szCs w:val="24"/>
        </w:rPr>
        <w:t xml:space="preserve"> Funktionären</w:t>
      </w:r>
      <w:r w:rsidR="00560E1E">
        <w:rPr>
          <w:sz w:val="24"/>
          <w:szCs w:val="24"/>
        </w:rPr>
        <w:t xml:space="preserve"> der Agrarlobby,</w:t>
      </w:r>
      <w:r w:rsidR="00DC54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wird </w:t>
      </w:r>
      <w:r w:rsidR="00001B81">
        <w:rPr>
          <w:sz w:val="24"/>
          <w:szCs w:val="24"/>
        </w:rPr>
        <w:t xml:space="preserve">jedoch </w:t>
      </w:r>
      <w:r w:rsidR="008C4DCA">
        <w:rPr>
          <w:sz w:val="24"/>
          <w:szCs w:val="24"/>
        </w:rPr>
        <w:t>–</w:t>
      </w:r>
      <w:r w:rsidR="00560E1E">
        <w:rPr>
          <w:sz w:val="24"/>
          <w:szCs w:val="24"/>
        </w:rPr>
        <w:t xml:space="preserve"> </w:t>
      </w:r>
      <w:r w:rsidR="008C4DCA">
        <w:rPr>
          <w:sz w:val="24"/>
          <w:szCs w:val="24"/>
        </w:rPr>
        <w:t xml:space="preserve">meist </w:t>
      </w:r>
      <w:r w:rsidR="00560E1E">
        <w:rPr>
          <w:sz w:val="24"/>
          <w:szCs w:val="24"/>
        </w:rPr>
        <w:t xml:space="preserve">wider besseren Wissens - </w:t>
      </w:r>
      <w:r w:rsidR="00DC5407">
        <w:rPr>
          <w:sz w:val="24"/>
          <w:szCs w:val="24"/>
        </w:rPr>
        <w:t xml:space="preserve">immer wieder </w:t>
      </w:r>
      <w:r>
        <w:rPr>
          <w:sz w:val="24"/>
          <w:szCs w:val="24"/>
        </w:rPr>
        <w:t xml:space="preserve">behauptet, das Gemeindegut sei seit jeher </w:t>
      </w:r>
      <w:r w:rsidR="00DC5407">
        <w:rPr>
          <w:sz w:val="24"/>
          <w:szCs w:val="24"/>
        </w:rPr>
        <w:t>i</w:t>
      </w:r>
      <w:r w:rsidR="0067023B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Eigentum </w:t>
      </w:r>
      <w:r w:rsidR="0067023B">
        <w:rPr>
          <w:sz w:val="24"/>
          <w:szCs w:val="24"/>
        </w:rPr>
        <w:t xml:space="preserve">der Nutzungsberechtigten </w:t>
      </w:r>
      <w:r>
        <w:rPr>
          <w:sz w:val="24"/>
          <w:szCs w:val="24"/>
        </w:rPr>
        <w:t>gestanden</w:t>
      </w:r>
      <w:r w:rsidR="00DC5407">
        <w:rPr>
          <w:sz w:val="24"/>
          <w:szCs w:val="24"/>
        </w:rPr>
        <w:t xml:space="preserve">. </w:t>
      </w:r>
      <w:r>
        <w:rPr>
          <w:sz w:val="24"/>
          <w:szCs w:val="24"/>
        </w:rPr>
        <w:t>Die als Eigentümerin eine</w:t>
      </w:r>
      <w:r w:rsidR="008C4DC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7023B">
        <w:rPr>
          <w:sz w:val="24"/>
          <w:szCs w:val="24"/>
        </w:rPr>
        <w:t>mit Nutzungs</w:t>
      </w:r>
      <w:r w:rsidR="008C4DCA">
        <w:rPr>
          <w:sz w:val="24"/>
          <w:szCs w:val="24"/>
        </w:rPr>
        <w:softHyphen/>
      </w:r>
      <w:r w:rsidR="0067023B">
        <w:rPr>
          <w:sz w:val="24"/>
          <w:szCs w:val="24"/>
        </w:rPr>
        <w:t>rechten bela</w:t>
      </w:r>
      <w:r w:rsidR="00961A2D">
        <w:rPr>
          <w:sz w:val="24"/>
          <w:szCs w:val="24"/>
        </w:rPr>
        <w:softHyphen/>
      </w:r>
      <w:r w:rsidR="0067023B">
        <w:rPr>
          <w:sz w:val="24"/>
          <w:szCs w:val="24"/>
        </w:rPr>
        <w:t>steten</w:t>
      </w:r>
      <w:r>
        <w:rPr>
          <w:sz w:val="24"/>
          <w:szCs w:val="24"/>
        </w:rPr>
        <w:t xml:space="preserve"> Grundstückes eingetragene Gemeinde sei nicht als politische Gemeinde, sondern</w:t>
      </w:r>
      <w:r w:rsidR="00DC5407">
        <w:rPr>
          <w:sz w:val="24"/>
          <w:szCs w:val="24"/>
        </w:rPr>
        <w:t xml:space="preserve"> viel</w:t>
      </w:r>
      <w:r w:rsidR="00BB1CEB">
        <w:rPr>
          <w:sz w:val="24"/>
          <w:szCs w:val="24"/>
        </w:rPr>
        <w:softHyphen/>
      </w:r>
      <w:r w:rsidR="00DC5407">
        <w:rPr>
          <w:sz w:val="24"/>
          <w:szCs w:val="24"/>
        </w:rPr>
        <w:t>mehr</w:t>
      </w:r>
      <w:r>
        <w:rPr>
          <w:sz w:val="24"/>
          <w:szCs w:val="24"/>
        </w:rPr>
        <w:t xml:space="preserve"> als Gemeinschaft der Nutzungsberechtigten anzusehen. Daher seien </w:t>
      </w:r>
      <w:r w:rsidR="008F7A03">
        <w:rPr>
          <w:sz w:val="24"/>
          <w:szCs w:val="24"/>
        </w:rPr>
        <w:t>bei der Grund</w:t>
      </w:r>
      <w:r w:rsidR="0067023B">
        <w:rPr>
          <w:sz w:val="24"/>
          <w:szCs w:val="24"/>
        </w:rPr>
        <w:softHyphen/>
      </w:r>
      <w:r w:rsidR="008F7A03">
        <w:rPr>
          <w:sz w:val="24"/>
          <w:szCs w:val="24"/>
        </w:rPr>
        <w:t xml:space="preserve">buchsanlegung </w:t>
      </w:r>
      <w:r>
        <w:rPr>
          <w:sz w:val="24"/>
          <w:szCs w:val="24"/>
        </w:rPr>
        <w:t>mit den Ausdrücken „Gemeinde“, „Ortschaft“, „Fraktion“</w:t>
      </w:r>
      <w:r w:rsidR="006976DF">
        <w:rPr>
          <w:sz w:val="24"/>
          <w:szCs w:val="24"/>
        </w:rPr>
        <w:t>, „Nach</w:t>
      </w:r>
      <w:r w:rsidR="008C4DCA">
        <w:rPr>
          <w:sz w:val="24"/>
          <w:szCs w:val="24"/>
        </w:rPr>
        <w:softHyphen/>
      </w:r>
      <w:r w:rsidR="006976DF">
        <w:rPr>
          <w:sz w:val="24"/>
          <w:szCs w:val="24"/>
        </w:rPr>
        <w:t>bar</w:t>
      </w:r>
      <w:r w:rsidR="008C4DCA">
        <w:rPr>
          <w:sz w:val="24"/>
          <w:szCs w:val="24"/>
        </w:rPr>
        <w:softHyphen/>
      </w:r>
      <w:r w:rsidR="008C4DCA">
        <w:rPr>
          <w:sz w:val="24"/>
          <w:szCs w:val="24"/>
        </w:rPr>
        <w:softHyphen/>
      </w:r>
      <w:r w:rsidR="006976DF">
        <w:rPr>
          <w:sz w:val="24"/>
          <w:szCs w:val="24"/>
        </w:rPr>
        <w:t>schaft“</w:t>
      </w:r>
      <w:r>
        <w:rPr>
          <w:sz w:val="24"/>
          <w:szCs w:val="24"/>
        </w:rPr>
        <w:t xml:space="preserve"> usw. in Wahrheit nur die Eigentümer der im betreffenden Gebiet gelegenen bäuer</w:t>
      </w:r>
      <w:r w:rsidR="005E5892">
        <w:rPr>
          <w:sz w:val="24"/>
          <w:szCs w:val="24"/>
        </w:rPr>
        <w:softHyphen/>
      </w:r>
      <w:r>
        <w:rPr>
          <w:sz w:val="24"/>
          <w:szCs w:val="24"/>
        </w:rPr>
        <w:t xml:space="preserve">lichen </w:t>
      </w:r>
      <w:r w:rsidR="006976DF">
        <w:rPr>
          <w:sz w:val="24"/>
          <w:szCs w:val="24"/>
        </w:rPr>
        <w:t>Betriebe</w:t>
      </w:r>
      <w:r>
        <w:rPr>
          <w:sz w:val="24"/>
          <w:szCs w:val="24"/>
        </w:rPr>
        <w:t xml:space="preserve"> gemeint gewesen.</w:t>
      </w:r>
    </w:p>
    <w:p w14:paraId="7F6B33B4" w14:textId="7196CA76" w:rsidR="00403970" w:rsidRPr="00560E1E" w:rsidRDefault="00961A2D" w:rsidP="00961A2D">
      <w:pPr>
        <w:pStyle w:val="Listenabsatz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sz w:val="24"/>
          <w:szCs w:val="24"/>
        </w:rPr>
      </w:pPr>
      <w:bookmarkStart w:id="2" w:name="_Hlk81145930"/>
      <w:bookmarkEnd w:id="1"/>
      <w:r>
        <w:rPr>
          <w:sz w:val="24"/>
          <w:szCs w:val="24"/>
        </w:rPr>
        <w:t>Scho</w:t>
      </w:r>
      <w:r w:rsidR="00FD1DF7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in </w:t>
      </w:r>
      <w:r w:rsidR="00FD1DF7">
        <w:rPr>
          <w:sz w:val="24"/>
          <w:szCs w:val="24"/>
        </w:rPr>
        <w:t xml:space="preserve">seinem </w:t>
      </w:r>
      <w:bookmarkStart w:id="3" w:name="_Hlk50974858"/>
      <w:r w:rsidR="003F6378">
        <w:rPr>
          <w:color w:val="FF0000"/>
          <w:sz w:val="24"/>
          <w:szCs w:val="24"/>
        </w:rPr>
        <w:fldChar w:fldCharType="begin"/>
      </w:r>
      <w:r w:rsidR="003F6378">
        <w:rPr>
          <w:color w:val="FF0000"/>
          <w:sz w:val="24"/>
          <w:szCs w:val="24"/>
        </w:rPr>
        <w:instrText xml:space="preserve"> HYPERLINK "https://www.gemeindeland.at/wp-content/uploads/2021/12/1954-VwGH_3560.pdf" </w:instrText>
      </w:r>
      <w:r w:rsidR="003F6378">
        <w:rPr>
          <w:color w:val="FF0000"/>
          <w:sz w:val="24"/>
          <w:szCs w:val="24"/>
        </w:rPr>
        <w:fldChar w:fldCharType="separate"/>
      </w:r>
      <w:r w:rsidR="00FD1DF7" w:rsidRPr="003F6378">
        <w:rPr>
          <w:rStyle w:val="Hyperlink"/>
          <w:sz w:val="24"/>
          <w:szCs w:val="24"/>
        </w:rPr>
        <w:t xml:space="preserve">Erkenntnis vom 11.11.1954, </w:t>
      </w:r>
      <w:proofErr w:type="spellStart"/>
      <w:r w:rsidR="00FD1DF7" w:rsidRPr="003F6378">
        <w:rPr>
          <w:rStyle w:val="Hyperlink"/>
          <w:sz w:val="24"/>
          <w:szCs w:val="24"/>
        </w:rPr>
        <w:t>VwSlg</w:t>
      </w:r>
      <w:proofErr w:type="spellEnd"/>
      <w:r w:rsidR="00FD1DF7" w:rsidRPr="003F6378">
        <w:rPr>
          <w:rStyle w:val="Hyperlink"/>
          <w:sz w:val="24"/>
          <w:szCs w:val="24"/>
        </w:rPr>
        <w:t xml:space="preserve"> 3560 A</w:t>
      </w:r>
      <w:bookmarkEnd w:id="3"/>
      <w:r w:rsidR="003F6378">
        <w:rPr>
          <w:color w:val="FF0000"/>
          <w:sz w:val="24"/>
          <w:szCs w:val="24"/>
        </w:rPr>
        <w:fldChar w:fldCharType="end"/>
      </w:r>
      <w:r w:rsidR="00FD1DF7">
        <w:rPr>
          <w:sz w:val="24"/>
          <w:szCs w:val="24"/>
        </w:rPr>
        <w:t>, sprach der Verwaltungs</w:t>
      </w:r>
      <w:r w:rsidR="0067023B">
        <w:rPr>
          <w:sz w:val="24"/>
          <w:szCs w:val="24"/>
        </w:rPr>
        <w:softHyphen/>
      </w:r>
      <w:r w:rsidR="00FD1DF7">
        <w:rPr>
          <w:sz w:val="24"/>
          <w:szCs w:val="24"/>
        </w:rPr>
        <w:t>gerichtshof aus, dass sich die</w:t>
      </w:r>
      <w:r w:rsidR="006976DF">
        <w:rPr>
          <w:sz w:val="24"/>
          <w:szCs w:val="24"/>
        </w:rPr>
        <w:t xml:space="preserve"> oben angeführten</w:t>
      </w:r>
      <w:r w:rsidR="00FD1DF7">
        <w:rPr>
          <w:sz w:val="24"/>
          <w:szCs w:val="24"/>
        </w:rPr>
        <w:t xml:space="preserve"> Einwände als </w:t>
      </w:r>
      <w:r w:rsidR="00FD1DF7" w:rsidRPr="006976DF">
        <w:rPr>
          <w:b/>
          <w:bCs/>
          <w:sz w:val="24"/>
          <w:szCs w:val="24"/>
        </w:rPr>
        <w:t>Versuch einer juristischen Konstruktion, die im Gesetz keinerlei Deckung finde</w:t>
      </w:r>
      <w:r w:rsidR="00FD1DF7">
        <w:rPr>
          <w:sz w:val="24"/>
          <w:szCs w:val="24"/>
        </w:rPr>
        <w:t xml:space="preserve">, darstellen. </w:t>
      </w:r>
      <w:bookmarkEnd w:id="2"/>
      <w:r w:rsidR="00FD1DF7">
        <w:rPr>
          <w:sz w:val="24"/>
          <w:szCs w:val="24"/>
        </w:rPr>
        <w:t>Nach dem Sprachgebrauch der österrei</w:t>
      </w:r>
      <w:r w:rsidR="006976DF">
        <w:rPr>
          <w:sz w:val="24"/>
          <w:szCs w:val="24"/>
        </w:rPr>
        <w:softHyphen/>
      </w:r>
      <w:r w:rsidR="00FD1DF7">
        <w:rPr>
          <w:sz w:val="24"/>
          <w:szCs w:val="24"/>
        </w:rPr>
        <w:t xml:space="preserve">chischen Gesetzgebung sei </w:t>
      </w:r>
      <w:r w:rsidR="00FD1DF7" w:rsidRPr="006976DF">
        <w:rPr>
          <w:b/>
          <w:bCs/>
          <w:sz w:val="24"/>
          <w:szCs w:val="24"/>
        </w:rPr>
        <w:t>unter dem Ausdruck Gemeinde grundsätzlich die politische Gemeinde</w:t>
      </w:r>
      <w:r w:rsidR="00FD1DF7">
        <w:rPr>
          <w:sz w:val="24"/>
          <w:szCs w:val="24"/>
        </w:rPr>
        <w:t xml:space="preserve"> zu verstehen.</w:t>
      </w:r>
    </w:p>
    <w:p w14:paraId="1954F388" w14:textId="7D1F87E8" w:rsidR="00AB0697" w:rsidRPr="00560E1E" w:rsidRDefault="00FD1DF7" w:rsidP="00961A2D">
      <w:pPr>
        <w:pStyle w:val="Listenabsatz"/>
        <w:spacing w:after="120" w:line="276" w:lineRule="auto"/>
        <w:ind w:left="357"/>
        <w:contextualSpacing w:val="0"/>
        <w:rPr>
          <w:sz w:val="24"/>
          <w:szCs w:val="24"/>
        </w:rPr>
      </w:pPr>
      <w:bookmarkStart w:id="4" w:name="_Hlk81146506"/>
      <w:r w:rsidRPr="00403970">
        <w:rPr>
          <w:sz w:val="24"/>
          <w:szCs w:val="24"/>
        </w:rPr>
        <w:lastRenderedPageBreak/>
        <w:t>Durch die mit 1.12.1938 für das „Land Österreich“ in Kraft gesetzte Deutsche Gemeinde</w:t>
      </w:r>
      <w:r w:rsidR="006976DF">
        <w:rPr>
          <w:sz w:val="24"/>
          <w:szCs w:val="24"/>
        </w:rPr>
        <w:softHyphen/>
      </w:r>
      <w:r w:rsidRPr="00403970">
        <w:rPr>
          <w:sz w:val="24"/>
          <w:szCs w:val="24"/>
        </w:rPr>
        <w:t>ordnung wurden „Ortschaften, Fraktionen und ähnliche innerhalb einer Gemeinde beste</w:t>
      </w:r>
      <w:r w:rsidR="00961A2D">
        <w:rPr>
          <w:sz w:val="24"/>
          <w:szCs w:val="24"/>
        </w:rPr>
        <w:softHyphen/>
      </w:r>
      <w:r w:rsidRPr="00403970">
        <w:rPr>
          <w:sz w:val="24"/>
          <w:szCs w:val="24"/>
        </w:rPr>
        <w:t>hende Verbände, Körperschaften und Einrichtungen gemeinderechtlicher Art</w:t>
      </w:r>
      <w:r w:rsidR="00961A2D">
        <w:rPr>
          <w:sz w:val="24"/>
          <w:szCs w:val="24"/>
        </w:rPr>
        <w:t xml:space="preserve">“ </w:t>
      </w:r>
      <w:r w:rsidRPr="00403970">
        <w:rPr>
          <w:sz w:val="24"/>
          <w:szCs w:val="24"/>
        </w:rPr>
        <w:t xml:space="preserve">aufgelöst, und es wurde bestimmt, dass ihr Rechtsnachfolger die Gemeinde ist </w:t>
      </w:r>
      <w:bookmarkEnd w:id="4"/>
      <w:r w:rsidRPr="00403970">
        <w:rPr>
          <w:sz w:val="24"/>
          <w:szCs w:val="24"/>
        </w:rPr>
        <w:t xml:space="preserve">(vgl. </w:t>
      </w:r>
      <w:proofErr w:type="spellStart"/>
      <w:r w:rsidRPr="00403970">
        <w:rPr>
          <w:sz w:val="24"/>
          <w:szCs w:val="24"/>
        </w:rPr>
        <w:t>VfSlg</w:t>
      </w:r>
      <w:proofErr w:type="spellEnd"/>
      <w:r w:rsidRPr="00403970">
        <w:rPr>
          <w:sz w:val="24"/>
          <w:szCs w:val="24"/>
        </w:rPr>
        <w:t xml:space="preserve"> 4229/</w:t>
      </w:r>
      <w:r w:rsidR="00522300">
        <w:rPr>
          <w:sz w:val="24"/>
          <w:szCs w:val="24"/>
        </w:rPr>
        <w:t xml:space="preserve"> </w:t>
      </w:r>
      <w:r w:rsidRPr="00403970">
        <w:rPr>
          <w:sz w:val="24"/>
          <w:szCs w:val="24"/>
        </w:rPr>
        <w:t>1962 und 9336/1982 sowie VwGH 2010</w:t>
      </w:r>
      <w:r w:rsidR="00F4038D">
        <w:rPr>
          <w:sz w:val="24"/>
          <w:szCs w:val="24"/>
        </w:rPr>
        <w:t>-</w:t>
      </w:r>
      <w:r w:rsidRPr="00403970">
        <w:rPr>
          <w:sz w:val="24"/>
          <w:szCs w:val="24"/>
        </w:rPr>
        <w:t>07</w:t>
      </w:r>
      <w:r w:rsidR="00F4038D">
        <w:rPr>
          <w:sz w:val="24"/>
          <w:szCs w:val="24"/>
        </w:rPr>
        <w:t>-</w:t>
      </w:r>
      <w:r w:rsidRPr="00403970">
        <w:rPr>
          <w:sz w:val="24"/>
          <w:szCs w:val="24"/>
        </w:rPr>
        <w:t>0074 und 2011</w:t>
      </w:r>
      <w:r w:rsidR="00F4038D">
        <w:rPr>
          <w:sz w:val="24"/>
          <w:szCs w:val="24"/>
        </w:rPr>
        <w:t>-</w:t>
      </w:r>
      <w:r w:rsidRPr="00403970">
        <w:rPr>
          <w:sz w:val="24"/>
          <w:szCs w:val="24"/>
        </w:rPr>
        <w:t>07</w:t>
      </w:r>
      <w:r w:rsidR="00F4038D">
        <w:rPr>
          <w:sz w:val="24"/>
          <w:szCs w:val="24"/>
        </w:rPr>
        <w:t>-</w:t>
      </w:r>
      <w:r w:rsidRPr="00403970">
        <w:rPr>
          <w:sz w:val="24"/>
          <w:szCs w:val="24"/>
        </w:rPr>
        <w:t>0117). Diese Rege</w:t>
      </w:r>
      <w:r w:rsidR="00961A2D">
        <w:rPr>
          <w:sz w:val="24"/>
          <w:szCs w:val="24"/>
        </w:rPr>
        <w:softHyphen/>
      </w:r>
      <w:r w:rsidRPr="00403970">
        <w:rPr>
          <w:sz w:val="24"/>
          <w:szCs w:val="24"/>
        </w:rPr>
        <w:t xml:space="preserve">lung wurde nach 1945 nicht wieder rückgängig gemacht. Demgemäß sind </w:t>
      </w:r>
      <w:r w:rsidR="006976DF">
        <w:rPr>
          <w:sz w:val="24"/>
          <w:szCs w:val="24"/>
        </w:rPr>
        <w:t xml:space="preserve">auch unter diesem Aspekt </w:t>
      </w:r>
      <w:r w:rsidRPr="00403970">
        <w:rPr>
          <w:sz w:val="24"/>
          <w:szCs w:val="24"/>
        </w:rPr>
        <w:t>die politischen Gemeinden seit 1838 auch Eigentümer des Fraktionsgutes (</w:t>
      </w:r>
      <w:hyperlink r:id="rId9">
        <w:r w:rsidRPr="00403970">
          <w:rPr>
            <w:sz w:val="24"/>
            <w:szCs w:val="24"/>
          </w:rPr>
          <w:t>VfGH 1.3.1982, G35/81</w:t>
        </w:r>
      </w:hyperlink>
      <w:hyperlink r:id="rId10">
        <w:r w:rsidRPr="00403970">
          <w:rPr>
            <w:sz w:val="24"/>
            <w:szCs w:val="24"/>
          </w:rPr>
          <w:t xml:space="preserve"> </w:t>
        </w:r>
        <w:proofErr w:type="spellStart"/>
        <w:r w:rsidRPr="00403970">
          <w:rPr>
            <w:sz w:val="24"/>
            <w:szCs w:val="24"/>
          </w:rPr>
          <w:t>ua</w:t>
        </w:r>
        <w:proofErr w:type="spellEnd"/>
        <w:r w:rsidRPr="00403970">
          <w:rPr>
            <w:sz w:val="24"/>
            <w:szCs w:val="24"/>
          </w:rPr>
          <w:t xml:space="preserve">, </w:t>
        </w:r>
        <w:proofErr w:type="spellStart"/>
        <w:r w:rsidRPr="00403970">
          <w:rPr>
            <w:sz w:val="24"/>
            <w:szCs w:val="24"/>
          </w:rPr>
          <w:t>VfSlg</w:t>
        </w:r>
        <w:proofErr w:type="spellEnd"/>
        <w:r w:rsidRPr="00403970">
          <w:rPr>
            <w:sz w:val="24"/>
            <w:szCs w:val="24"/>
          </w:rPr>
          <w:t xml:space="preserve"> 9336</w:t>
        </w:r>
        <w:r w:rsidR="0048030E">
          <w:rPr>
            <w:sz w:val="24"/>
            <w:szCs w:val="24"/>
          </w:rPr>
          <w:t>-</w:t>
        </w:r>
        <w:r w:rsidRPr="00403970">
          <w:rPr>
            <w:sz w:val="24"/>
            <w:szCs w:val="24"/>
          </w:rPr>
          <w:t>1982</w:t>
        </w:r>
      </w:hyperlink>
      <w:r w:rsidRPr="00403970">
        <w:rPr>
          <w:sz w:val="24"/>
          <w:szCs w:val="24"/>
        </w:rPr>
        <w:t>).</w:t>
      </w:r>
    </w:p>
    <w:p w14:paraId="24259135" w14:textId="27154834" w:rsidR="00403970" w:rsidRPr="00560E1E" w:rsidRDefault="00FD1DF7" w:rsidP="00BB1CEB">
      <w:pPr>
        <w:pStyle w:val="Listenabsatz"/>
        <w:spacing w:after="180" w:line="276" w:lineRule="auto"/>
        <w:ind w:left="363"/>
        <w:contextualSpacing w:val="0"/>
        <w:rPr>
          <w:sz w:val="24"/>
          <w:szCs w:val="24"/>
        </w:rPr>
      </w:pPr>
      <w:bookmarkStart w:id="5" w:name="_Hlk81146088"/>
      <w:r w:rsidRPr="00AB0697">
        <w:rPr>
          <w:b/>
          <w:bCs/>
          <w:sz w:val="24"/>
          <w:szCs w:val="24"/>
        </w:rPr>
        <w:t xml:space="preserve">Damit ist klargestellt, dass </w:t>
      </w:r>
      <w:bookmarkStart w:id="6" w:name="_Hlk64634923"/>
      <w:r w:rsidRPr="00AB0697">
        <w:rPr>
          <w:b/>
          <w:bCs/>
          <w:sz w:val="24"/>
          <w:szCs w:val="24"/>
        </w:rPr>
        <w:t>der Begriff “Gemeindegut“ auch das ehemalige Fraktionsgut umfasst, auch dann, wenn die grundbücherliche Durchführung des Eigentumsüber</w:t>
      </w:r>
      <w:r w:rsidR="00961A2D">
        <w:rPr>
          <w:b/>
          <w:bCs/>
          <w:sz w:val="24"/>
          <w:szCs w:val="24"/>
        </w:rPr>
        <w:softHyphen/>
      </w:r>
      <w:r w:rsidRPr="00AB0697">
        <w:rPr>
          <w:b/>
          <w:bCs/>
          <w:sz w:val="24"/>
          <w:szCs w:val="24"/>
        </w:rPr>
        <w:t>gangs noch ausstehen sollte</w:t>
      </w:r>
      <w:r>
        <w:rPr>
          <w:sz w:val="24"/>
          <w:szCs w:val="24"/>
        </w:rPr>
        <w:t xml:space="preserve"> </w:t>
      </w:r>
      <w:bookmarkEnd w:id="6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vgl</w:t>
      </w:r>
      <w:proofErr w:type="spellEnd"/>
      <w:r>
        <w:rPr>
          <w:sz w:val="24"/>
          <w:szCs w:val="24"/>
        </w:rPr>
        <w:t xml:space="preserve"> Kienberger, Das Gemeindegut als Verfassungsproblem</w:t>
      </w:r>
      <w:r w:rsidR="006976DF">
        <w:rPr>
          <w:sz w:val="24"/>
          <w:szCs w:val="24"/>
        </w:rPr>
        <w:t xml:space="preserve"> [LexisNexis 2018]</w:t>
      </w:r>
      <w:r>
        <w:rPr>
          <w:sz w:val="24"/>
          <w:szCs w:val="24"/>
        </w:rPr>
        <w:t>, S 17)</w:t>
      </w:r>
      <w:r w:rsidR="00403970">
        <w:rPr>
          <w:sz w:val="24"/>
          <w:szCs w:val="24"/>
        </w:rPr>
        <w:t>.</w:t>
      </w:r>
    </w:p>
    <w:p w14:paraId="73196F92" w14:textId="343C9AE4" w:rsidR="00403970" w:rsidRPr="00522300" w:rsidRDefault="00FD1DF7" w:rsidP="00961A2D">
      <w:pPr>
        <w:pStyle w:val="Listenabsatz"/>
        <w:numPr>
          <w:ilvl w:val="0"/>
          <w:numId w:val="1"/>
        </w:numPr>
        <w:spacing w:after="120" w:line="276" w:lineRule="auto"/>
        <w:ind w:left="360"/>
        <w:contextualSpacing w:val="0"/>
        <w:rPr>
          <w:sz w:val="24"/>
          <w:szCs w:val="24"/>
        </w:rPr>
      </w:pPr>
      <w:r w:rsidRPr="00522300">
        <w:rPr>
          <w:sz w:val="24"/>
          <w:szCs w:val="24"/>
        </w:rPr>
        <w:t>Dennoch führte</w:t>
      </w:r>
      <w:r w:rsidRPr="00522300">
        <w:rPr>
          <w:b/>
          <w:bCs/>
          <w:sz w:val="24"/>
          <w:szCs w:val="24"/>
        </w:rPr>
        <w:t xml:space="preserve"> die Tiroler Landesregierung in einer ihr vom Verfassungsgerichtshof abverlangten Stellungnahme </w:t>
      </w:r>
      <w:r w:rsidRPr="00522300">
        <w:rPr>
          <w:sz w:val="24"/>
          <w:szCs w:val="24"/>
        </w:rPr>
        <w:t>Anfang der 1980er Jahre an</w:t>
      </w:r>
      <w:r w:rsidRPr="00522300">
        <w:rPr>
          <w:b/>
          <w:bCs/>
          <w:sz w:val="24"/>
          <w:szCs w:val="24"/>
        </w:rPr>
        <w:t>:</w:t>
      </w:r>
    </w:p>
    <w:p w14:paraId="23D3CB50" w14:textId="1F0EFCEB" w:rsidR="00403970" w:rsidRPr="00AD41BB" w:rsidRDefault="00FD1DF7" w:rsidP="00AE42CC">
      <w:pPr>
        <w:pStyle w:val="Listenabsatz"/>
        <w:spacing w:after="120" w:line="276" w:lineRule="auto"/>
        <w:ind w:left="708"/>
        <w:contextualSpacing w:val="0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,,</w:t>
      </w:r>
      <w:proofErr w:type="gramEnd"/>
      <w:r>
        <w:rPr>
          <w:i/>
          <w:iCs/>
          <w:sz w:val="24"/>
          <w:szCs w:val="24"/>
        </w:rPr>
        <w:t>Bei der Grundbuchsanlegung wurde einmal die Gemeinde, dann wieder eine Nach</w:t>
      </w:r>
      <w:r w:rsidR="00961A2D">
        <w:rPr>
          <w:i/>
          <w:iCs/>
          <w:sz w:val="24"/>
          <w:szCs w:val="24"/>
        </w:rPr>
        <w:softHyphen/>
      </w:r>
      <w:r>
        <w:rPr>
          <w:i/>
          <w:iCs/>
          <w:sz w:val="24"/>
          <w:szCs w:val="24"/>
        </w:rPr>
        <w:t xml:space="preserve">barschaft, eine Fraktion, eine </w:t>
      </w:r>
      <w:proofErr w:type="spellStart"/>
      <w:r>
        <w:rPr>
          <w:i/>
          <w:iCs/>
          <w:sz w:val="24"/>
          <w:szCs w:val="24"/>
        </w:rPr>
        <w:t>Interessentschaft</w:t>
      </w:r>
      <w:proofErr w:type="spellEnd"/>
      <w:r>
        <w:rPr>
          <w:i/>
          <w:iCs/>
          <w:sz w:val="24"/>
          <w:szCs w:val="24"/>
        </w:rPr>
        <w:t xml:space="preserve">, die Katastralgemeinde oder die Berechtigten als Miteigentümer eingetragen. Es lag allein im </w:t>
      </w:r>
      <w:r>
        <w:rPr>
          <w:b/>
          <w:bCs/>
          <w:sz w:val="24"/>
          <w:szCs w:val="24"/>
        </w:rPr>
        <w:t>Gutdünken des zuständigen Grundbuchsbeamten,</w:t>
      </w:r>
      <w:r>
        <w:rPr>
          <w:i/>
          <w:iCs/>
          <w:sz w:val="24"/>
          <w:szCs w:val="24"/>
        </w:rPr>
        <w:t xml:space="preserve"> welchen Ausdruck er verwendete. … In diesen Fällen ist die Gemeinde nicht als politische Gemeinde „Eigentümerin“, sondern sie ist als „Erbin“ der alten Realgemeinde anzusehen und damit nicht als Gebiets</w:t>
      </w:r>
      <w:r w:rsidR="00961A2D">
        <w:rPr>
          <w:i/>
          <w:iCs/>
          <w:sz w:val="24"/>
          <w:szCs w:val="24"/>
        </w:rPr>
        <w:softHyphen/>
      </w:r>
      <w:r>
        <w:rPr>
          <w:i/>
          <w:iCs/>
          <w:sz w:val="24"/>
          <w:szCs w:val="24"/>
        </w:rPr>
        <w:t>körperschaft, sondern als Rechtsnachfolger der alten genossenschaftlichen organisierten Realgemeinde (heute als Agrargemeinschaft definiert).“</w:t>
      </w:r>
    </w:p>
    <w:p w14:paraId="1B1B9FF6" w14:textId="159F9E1C" w:rsidR="00403970" w:rsidRPr="00943124" w:rsidRDefault="00FD1DF7" w:rsidP="00AE42CC">
      <w:pPr>
        <w:pStyle w:val="Listenabsatz"/>
        <w:numPr>
          <w:ilvl w:val="0"/>
          <w:numId w:val="1"/>
        </w:numPr>
        <w:spacing w:after="120" w:line="276" w:lineRule="auto"/>
        <w:ind w:left="360"/>
        <w:contextualSpacing w:val="0"/>
        <w:rPr>
          <w:sz w:val="24"/>
          <w:szCs w:val="24"/>
        </w:rPr>
      </w:pPr>
      <w:bookmarkStart w:id="7" w:name="_Hlk81146329"/>
      <w:bookmarkEnd w:id="5"/>
      <w:r w:rsidRPr="00001FDF">
        <w:rPr>
          <w:b/>
          <w:bCs/>
          <w:sz w:val="24"/>
          <w:szCs w:val="24"/>
        </w:rPr>
        <w:t>Diese Rechtsauffassung</w:t>
      </w:r>
      <w:r>
        <w:rPr>
          <w:sz w:val="24"/>
          <w:szCs w:val="24"/>
        </w:rPr>
        <w:t xml:space="preserve"> </w:t>
      </w:r>
      <w:r w:rsidR="00A67D07">
        <w:rPr>
          <w:b/>
          <w:bCs/>
          <w:sz w:val="24"/>
          <w:szCs w:val="24"/>
        </w:rPr>
        <w:t>wurde vom</w:t>
      </w:r>
      <w:r>
        <w:rPr>
          <w:b/>
          <w:bCs/>
          <w:sz w:val="24"/>
          <w:szCs w:val="24"/>
        </w:rPr>
        <w:t xml:space="preserve"> Verfassungsgerichtshof</w:t>
      </w:r>
      <w:r>
        <w:rPr>
          <w:sz w:val="24"/>
          <w:szCs w:val="24"/>
        </w:rPr>
        <w:t xml:space="preserve"> in seiner </w:t>
      </w:r>
      <w:hyperlink r:id="rId11" w:history="1">
        <w:r w:rsidRPr="00F11AB4">
          <w:rPr>
            <w:rStyle w:val="Hyperlink"/>
            <w:sz w:val="24"/>
            <w:szCs w:val="24"/>
          </w:rPr>
          <w:t>Entsch</w:t>
        </w:r>
        <w:r w:rsidRPr="00F11AB4">
          <w:rPr>
            <w:rStyle w:val="Hyperlink"/>
            <w:sz w:val="24"/>
            <w:szCs w:val="24"/>
          </w:rPr>
          <w:t>e</w:t>
        </w:r>
        <w:r w:rsidRPr="00F11AB4">
          <w:rPr>
            <w:rStyle w:val="Hyperlink"/>
            <w:sz w:val="24"/>
            <w:szCs w:val="24"/>
          </w:rPr>
          <w:t xml:space="preserve">idung vom 1.3.1982, </w:t>
        </w:r>
        <w:proofErr w:type="spellStart"/>
        <w:r w:rsidRPr="00F11AB4">
          <w:rPr>
            <w:rStyle w:val="Hyperlink"/>
            <w:sz w:val="24"/>
            <w:szCs w:val="24"/>
          </w:rPr>
          <w:t>Slg</w:t>
        </w:r>
        <w:proofErr w:type="spellEnd"/>
        <w:r w:rsidRPr="00F11AB4">
          <w:rPr>
            <w:rStyle w:val="Hyperlink"/>
            <w:sz w:val="24"/>
            <w:szCs w:val="24"/>
          </w:rPr>
          <w:t xml:space="preserve"> 9336/1982</w:t>
        </w:r>
      </w:hyperlink>
      <w:r>
        <w:rPr>
          <w:sz w:val="24"/>
          <w:szCs w:val="24"/>
        </w:rPr>
        <w:t>,</w:t>
      </w:r>
      <w:r>
        <w:rPr>
          <w:color w:val="2F5496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>entschieden</w:t>
      </w:r>
      <w:r w:rsidR="00A67D07">
        <w:rPr>
          <w:sz w:val="24"/>
          <w:szCs w:val="24"/>
        </w:rPr>
        <w:t xml:space="preserve"> verworfen</w:t>
      </w:r>
      <w:r>
        <w:rPr>
          <w:sz w:val="24"/>
          <w:szCs w:val="24"/>
        </w:rPr>
        <w:t xml:space="preserve">, indem </w:t>
      </w:r>
      <w:r w:rsidR="00A67D07">
        <w:rPr>
          <w:sz w:val="24"/>
          <w:szCs w:val="24"/>
        </w:rPr>
        <w:t>das Höchstgericht</w:t>
      </w:r>
      <w:r>
        <w:rPr>
          <w:sz w:val="24"/>
          <w:szCs w:val="24"/>
        </w:rPr>
        <w:t xml:space="preserve"> anführte, </w:t>
      </w:r>
      <w:r w:rsidR="0067023B">
        <w:rPr>
          <w:sz w:val="24"/>
          <w:szCs w:val="24"/>
        </w:rPr>
        <w:t xml:space="preserve">dass </w:t>
      </w:r>
      <w:r>
        <w:rPr>
          <w:sz w:val="24"/>
          <w:szCs w:val="24"/>
        </w:rPr>
        <w:t xml:space="preserve">die zitierte </w:t>
      </w:r>
      <w:r w:rsidRPr="00403970">
        <w:rPr>
          <w:sz w:val="24"/>
          <w:szCs w:val="24"/>
          <w:u w:val="single"/>
        </w:rPr>
        <w:t>Äußerung der Tiroler Landesregierung in der tatsächlichen Entwicklung des Gemein</w:t>
      </w:r>
      <w:r w:rsidR="00E45FE9">
        <w:rPr>
          <w:sz w:val="24"/>
          <w:szCs w:val="24"/>
          <w:u w:val="single"/>
        </w:rPr>
        <w:softHyphen/>
      </w:r>
      <w:r w:rsidRPr="00403970">
        <w:rPr>
          <w:sz w:val="24"/>
          <w:szCs w:val="24"/>
          <w:u w:val="single"/>
        </w:rPr>
        <w:t>derechts keine Stütze finde</w:t>
      </w:r>
      <w:r>
        <w:rPr>
          <w:sz w:val="24"/>
          <w:szCs w:val="24"/>
        </w:rPr>
        <w:t>.</w:t>
      </w:r>
    </w:p>
    <w:bookmarkEnd w:id="7"/>
    <w:p w14:paraId="1A135B0A" w14:textId="1D0992B9" w:rsidR="001C0737" w:rsidRDefault="00FD1DF7" w:rsidP="00AE42CC">
      <w:pPr>
        <w:pStyle w:val="Listenabsatz"/>
        <w:spacing w:after="120" w:line="276" w:lineRule="auto"/>
        <w:ind w:left="709"/>
        <w:contextualSpacing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Klarer kann man nicht sagen, dass die damals geäußerte Meinung der Tiroler Landesregierung juristisch nicht haltbar war. </w:t>
      </w:r>
      <w:r w:rsidR="00560E1E">
        <w:rPr>
          <w:i/>
          <w:iCs/>
          <w:sz w:val="24"/>
          <w:szCs w:val="24"/>
        </w:rPr>
        <w:t>Diese entpuppte sich als</w:t>
      </w:r>
      <w:r>
        <w:rPr>
          <w:i/>
          <w:iCs/>
          <w:sz w:val="24"/>
          <w:szCs w:val="24"/>
        </w:rPr>
        <w:t xml:space="preserve"> Schutz</w:t>
      </w:r>
      <w:r w:rsidR="00961A2D">
        <w:rPr>
          <w:i/>
          <w:iCs/>
          <w:sz w:val="24"/>
          <w:szCs w:val="24"/>
        </w:rPr>
        <w:softHyphen/>
      </w:r>
      <w:r>
        <w:rPr>
          <w:i/>
          <w:iCs/>
          <w:sz w:val="24"/>
          <w:szCs w:val="24"/>
        </w:rPr>
        <w:t>behauptung</w:t>
      </w:r>
      <w:r w:rsidR="00560E1E">
        <w:rPr>
          <w:i/>
          <w:iCs/>
          <w:sz w:val="24"/>
          <w:szCs w:val="24"/>
        </w:rPr>
        <w:t xml:space="preserve"> zur Rechtfertigung der</w:t>
      </w:r>
      <w:r>
        <w:rPr>
          <w:i/>
          <w:iCs/>
          <w:sz w:val="24"/>
          <w:szCs w:val="24"/>
        </w:rPr>
        <w:t xml:space="preserve"> eigenen rechtswidrigen Vorgangsweisen.</w:t>
      </w:r>
    </w:p>
    <w:p w14:paraId="03ADF1FF" w14:textId="77777777" w:rsidR="001C0737" w:rsidRDefault="001C0737" w:rsidP="00AE42CC">
      <w:pPr>
        <w:spacing w:before="240" w:after="0" w:line="276" w:lineRule="auto"/>
        <w:ind w:left="362" w:firstLine="357"/>
        <w:rPr>
          <w:i/>
          <w:iCs/>
        </w:rPr>
      </w:pPr>
      <w:r w:rsidRPr="00AD41BB">
        <w:rPr>
          <w:i/>
          <w:iCs/>
          <w:u w:val="single"/>
        </w:rPr>
        <w:t>Weiterführende Info</w:t>
      </w:r>
      <w:r w:rsidRPr="009E75CD">
        <w:rPr>
          <w:i/>
          <w:iCs/>
        </w:rPr>
        <w:t>:</w:t>
      </w:r>
    </w:p>
    <w:p w14:paraId="5A6D76F4" w14:textId="11F5A2DB" w:rsidR="001C0737" w:rsidRPr="00E45FE9" w:rsidRDefault="00274479" w:rsidP="00AE42CC">
      <w:pPr>
        <w:pStyle w:val="Listenabsatz"/>
        <w:numPr>
          <w:ilvl w:val="0"/>
          <w:numId w:val="5"/>
        </w:numPr>
        <w:spacing w:after="0" w:line="276" w:lineRule="auto"/>
        <w:ind w:left="721"/>
        <w:rPr>
          <w:rStyle w:val="Fett"/>
          <w:b w:val="0"/>
          <w:bCs w:val="0"/>
          <w:i/>
          <w:iCs/>
        </w:rPr>
      </w:pPr>
      <w:hyperlink r:id="rId12" w:history="1">
        <w:r w:rsidR="001C0737" w:rsidRPr="006E30EE">
          <w:rPr>
            <w:rStyle w:val="Hyperlink"/>
            <w:rFonts w:cstheme="minorHAnsi"/>
          </w:rPr>
          <w:t>Morscher, Gutachten betreffend Rechtsnachfolge Fraktionseigentum vom 23.05.1986</w:t>
        </w:r>
      </w:hyperlink>
      <w:r w:rsidR="001C0737">
        <w:rPr>
          <w:rStyle w:val="Fett"/>
        </w:rPr>
        <w:t xml:space="preserve"> </w:t>
      </w:r>
    </w:p>
    <w:p w14:paraId="3D385713" w14:textId="622EC213" w:rsidR="00E45FE9" w:rsidRPr="00A67D07" w:rsidRDefault="00274479" w:rsidP="00AE42CC">
      <w:pPr>
        <w:pStyle w:val="Listenabsatz"/>
        <w:numPr>
          <w:ilvl w:val="0"/>
          <w:numId w:val="5"/>
        </w:numPr>
        <w:spacing w:after="0" w:line="276" w:lineRule="auto"/>
        <w:ind w:left="721"/>
        <w:rPr>
          <w:rStyle w:val="Fett"/>
          <w:b w:val="0"/>
          <w:bCs w:val="0"/>
          <w:i/>
          <w:iCs/>
        </w:rPr>
      </w:pPr>
      <w:hyperlink r:id="rId13" w:history="1">
        <w:r w:rsidR="00E45FE9" w:rsidRPr="006E30EE">
          <w:rPr>
            <w:rStyle w:val="Hyperlink"/>
            <w:rFonts w:cstheme="minorHAnsi"/>
          </w:rPr>
          <w:t xml:space="preserve">Siegl, </w:t>
        </w:r>
        <w:r w:rsidR="00AE42CC" w:rsidRPr="006E30EE">
          <w:rPr>
            <w:rStyle w:val="Hyperlink"/>
            <w:rFonts w:cstheme="minorHAnsi"/>
          </w:rPr>
          <w:t>wie vor,</w:t>
        </w:r>
        <w:r w:rsidR="00E45FE9" w:rsidRPr="006E30EE">
          <w:rPr>
            <w:rStyle w:val="Hyperlink"/>
            <w:rFonts w:cstheme="minorHAnsi"/>
          </w:rPr>
          <w:t xml:space="preserve"> S. 227 – 231, insb. S. 232</w:t>
        </w:r>
      </w:hyperlink>
      <w:r w:rsidR="00E45FE9">
        <w:rPr>
          <w:rStyle w:val="Fett"/>
          <w:rFonts w:cstheme="minorHAnsi"/>
          <w:b w:val="0"/>
          <w:bCs w:val="0"/>
          <w:color w:val="FF0000"/>
        </w:rPr>
        <w:t xml:space="preserve"> </w:t>
      </w:r>
    </w:p>
    <w:p w14:paraId="11BEE963" w14:textId="3726F437" w:rsidR="00A67D07" w:rsidRPr="00A67D07" w:rsidRDefault="00A67D07" w:rsidP="00AE42CC">
      <w:pPr>
        <w:pStyle w:val="Listenabsatz"/>
        <w:numPr>
          <w:ilvl w:val="0"/>
          <w:numId w:val="5"/>
        </w:numPr>
        <w:spacing w:after="0" w:line="276" w:lineRule="auto"/>
        <w:ind w:left="721"/>
        <w:rPr>
          <w:rStyle w:val="Fett"/>
          <w:b w:val="0"/>
          <w:bCs w:val="0"/>
          <w:i/>
          <w:iCs/>
        </w:rPr>
      </w:pPr>
      <w:bookmarkStart w:id="8" w:name="_Hlk81150961"/>
      <w:r w:rsidRPr="00A67D07">
        <w:rPr>
          <w:rStyle w:val="Fett"/>
          <w:rFonts w:cstheme="minorHAnsi"/>
          <w:b w:val="0"/>
          <w:bCs w:val="0"/>
          <w:i/>
          <w:iCs/>
        </w:rPr>
        <w:t>Kienberger</w:t>
      </w:r>
      <w:r>
        <w:rPr>
          <w:rStyle w:val="Fett"/>
          <w:rFonts w:cstheme="minorHAnsi"/>
          <w:b w:val="0"/>
          <w:bCs w:val="0"/>
        </w:rPr>
        <w:t>, Das Gemeindegut als Verfassungsproblem [LexisNexis 2018], S 32/33</w:t>
      </w:r>
    </w:p>
    <w:bookmarkEnd w:id="8"/>
    <w:p w14:paraId="5DA61232" w14:textId="77777777" w:rsidR="005E5892" w:rsidRPr="005E5892" w:rsidRDefault="005E5892" w:rsidP="005E5892">
      <w:pPr>
        <w:spacing w:after="0" w:line="276" w:lineRule="auto"/>
        <w:rPr>
          <w:rStyle w:val="Fett"/>
          <w:b w:val="0"/>
          <w:bCs w:val="0"/>
          <w:i/>
          <w:iCs/>
        </w:rPr>
      </w:pPr>
    </w:p>
    <w:p w14:paraId="5F538DA1" w14:textId="7C8B81BF" w:rsidR="001C0737" w:rsidRDefault="001C0737" w:rsidP="00961A2D">
      <w:pPr>
        <w:pStyle w:val="Listenabsatz"/>
        <w:spacing w:after="120" w:line="276" w:lineRule="auto"/>
        <w:ind w:left="0"/>
        <w:rPr>
          <w:rFonts w:cs="Arial"/>
          <w:sz w:val="24"/>
          <w:szCs w:val="24"/>
        </w:rPr>
      </w:pPr>
    </w:p>
    <w:p w14:paraId="3075112B" w14:textId="4E3C2403" w:rsidR="003F247D" w:rsidRPr="005E5892" w:rsidRDefault="003F247D" w:rsidP="005E5892">
      <w:pPr>
        <w:pStyle w:val="Listenabsatz"/>
        <w:numPr>
          <w:ilvl w:val="0"/>
          <w:numId w:val="10"/>
        </w:numPr>
        <w:spacing w:after="240" w:line="276" w:lineRule="auto"/>
        <w:ind w:left="357" w:hanging="357"/>
        <w:contextualSpacing w:val="0"/>
        <w:rPr>
          <w:b/>
          <w:bCs/>
          <w:sz w:val="28"/>
          <w:szCs w:val="28"/>
        </w:rPr>
      </w:pPr>
      <w:bookmarkStart w:id="9" w:name="_Hlk81147707"/>
      <w:r w:rsidRPr="005E5892">
        <w:rPr>
          <w:b/>
          <w:bCs/>
          <w:sz w:val="28"/>
          <w:szCs w:val="28"/>
        </w:rPr>
        <w:t>Grundbuchstand und Gemeindegutseigenschaft</w:t>
      </w:r>
    </w:p>
    <w:p w14:paraId="73FD0815" w14:textId="67CB69D3" w:rsidR="003F247D" w:rsidRDefault="003F247D" w:rsidP="005E5892">
      <w:pPr>
        <w:spacing w:after="120" w:line="276" w:lineRule="auto"/>
        <w:rPr>
          <w:sz w:val="24"/>
          <w:szCs w:val="24"/>
        </w:rPr>
      </w:pPr>
      <w:bookmarkStart w:id="10" w:name="_Hlk81149929"/>
      <w:r w:rsidRPr="005E5892">
        <w:rPr>
          <w:sz w:val="24"/>
          <w:szCs w:val="24"/>
        </w:rPr>
        <w:t xml:space="preserve">Aus der Judikatur des VfGH ergibt sich, dass </w:t>
      </w:r>
      <w:r w:rsidRPr="005E5892">
        <w:rPr>
          <w:b/>
          <w:bCs/>
          <w:sz w:val="24"/>
          <w:szCs w:val="24"/>
        </w:rPr>
        <w:t>für die Gemeindegutseigenschaft von Grund</w:t>
      </w:r>
      <w:r w:rsidR="005E5892" w:rsidRPr="005E5892">
        <w:rPr>
          <w:b/>
          <w:bCs/>
          <w:sz w:val="24"/>
          <w:szCs w:val="24"/>
        </w:rPr>
        <w:softHyphen/>
      </w:r>
      <w:r w:rsidRPr="005E5892">
        <w:rPr>
          <w:b/>
          <w:bCs/>
          <w:sz w:val="24"/>
          <w:szCs w:val="24"/>
        </w:rPr>
        <w:t xml:space="preserve">stücken allein der Grundbuchstand zum Zeitpunkt der </w:t>
      </w:r>
      <w:r w:rsidR="00AE42CC" w:rsidRPr="005E5892">
        <w:rPr>
          <w:b/>
          <w:bCs/>
          <w:sz w:val="24"/>
          <w:szCs w:val="24"/>
        </w:rPr>
        <w:t>„</w:t>
      </w:r>
      <w:r w:rsidRPr="005E5892">
        <w:rPr>
          <w:b/>
          <w:bCs/>
          <w:sz w:val="24"/>
          <w:szCs w:val="24"/>
        </w:rPr>
        <w:t>Regulierung</w:t>
      </w:r>
      <w:r w:rsidR="00AE42CC" w:rsidRPr="005E5892">
        <w:rPr>
          <w:b/>
          <w:bCs/>
          <w:sz w:val="24"/>
          <w:szCs w:val="24"/>
        </w:rPr>
        <w:t>“</w:t>
      </w:r>
      <w:r w:rsidRPr="005E5892">
        <w:rPr>
          <w:b/>
          <w:bCs/>
          <w:sz w:val="24"/>
          <w:szCs w:val="24"/>
        </w:rPr>
        <w:t xml:space="preserve"> maßgeblich</w:t>
      </w:r>
      <w:r w:rsidRPr="005E5892">
        <w:rPr>
          <w:sz w:val="24"/>
          <w:szCs w:val="24"/>
        </w:rPr>
        <w:t xml:space="preserve"> ist (</w:t>
      </w:r>
      <w:proofErr w:type="spellStart"/>
      <w:r w:rsidRPr="005E5892">
        <w:rPr>
          <w:sz w:val="24"/>
          <w:szCs w:val="24"/>
        </w:rPr>
        <w:t>VfSlg</w:t>
      </w:r>
      <w:proofErr w:type="spellEnd"/>
      <w:r w:rsidRPr="005E5892">
        <w:rPr>
          <w:sz w:val="24"/>
          <w:szCs w:val="24"/>
        </w:rPr>
        <w:t xml:space="preserve"> </w:t>
      </w:r>
      <w:r w:rsidRPr="005E5892">
        <w:rPr>
          <w:sz w:val="24"/>
          <w:szCs w:val="24"/>
        </w:rPr>
        <w:lastRenderedPageBreak/>
        <w:t xml:space="preserve">19.018/2010 und 19.262/2010; </w:t>
      </w:r>
      <w:proofErr w:type="spellStart"/>
      <w:r w:rsidRPr="005E5892">
        <w:rPr>
          <w:sz w:val="24"/>
          <w:szCs w:val="24"/>
        </w:rPr>
        <w:t>vgl</w:t>
      </w:r>
      <w:proofErr w:type="spellEnd"/>
      <w:r w:rsidRPr="005E5892">
        <w:rPr>
          <w:sz w:val="24"/>
          <w:szCs w:val="24"/>
        </w:rPr>
        <w:t xml:space="preserve"> </w:t>
      </w:r>
      <w:r w:rsidRPr="00D76FEA">
        <w:rPr>
          <w:i/>
          <w:iCs/>
          <w:sz w:val="24"/>
          <w:szCs w:val="24"/>
        </w:rPr>
        <w:t>Kienberger</w:t>
      </w:r>
      <w:r w:rsidRPr="005E5892">
        <w:rPr>
          <w:sz w:val="24"/>
          <w:szCs w:val="24"/>
        </w:rPr>
        <w:t xml:space="preserve"> „Das Gemeindegut als Verfas</w:t>
      </w:r>
      <w:r w:rsidR="00E45FE9" w:rsidRPr="005E5892">
        <w:rPr>
          <w:sz w:val="24"/>
          <w:szCs w:val="24"/>
        </w:rPr>
        <w:softHyphen/>
      </w:r>
      <w:r w:rsidRPr="005E5892">
        <w:rPr>
          <w:sz w:val="24"/>
          <w:szCs w:val="24"/>
        </w:rPr>
        <w:t>sungs</w:t>
      </w:r>
      <w:r w:rsidR="00C97956" w:rsidRPr="005E5892">
        <w:rPr>
          <w:sz w:val="24"/>
          <w:szCs w:val="24"/>
        </w:rPr>
        <w:softHyphen/>
      </w:r>
      <w:r w:rsidRPr="005E5892">
        <w:rPr>
          <w:sz w:val="24"/>
          <w:szCs w:val="24"/>
        </w:rPr>
        <w:t>problem</w:t>
      </w:r>
      <w:r w:rsidR="00C97956" w:rsidRPr="005E5892">
        <w:rPr>
          <w:sz w:val="24"/>
          <w:szCs w:val="24"/>
        </w:rPr>
        <w:t xml:space="preserve"> [LexisNexis 2018]</w:t>
      </w:r>
      <w:r w:rsidRPr="005E5892">
        <w:rPr>
          <w:sz w:val="24"/>
          <w:szCs w:val="24"/>
        </w:rPr>
        <w:t>, S 32</w:t>
      </w:r>
      <w:r w:rsidR="00F94FAE">
        <w:rPr>
          <w:sz w:val="24"/>
          <w:szCs w:val="24"/>
        </w:rPr>
        <w:t>/33</w:t>
      </w:r>
      <w:r w:rsidRPr="005E5892">
        <w:rPr>
          <w:sz w:val="24"/>
          <w:szCs w:val="24"/>
        </w:rPr>
        <w:t>).</w:t>
      </w:r>
    </w:p>
    <w:p w14:paraId="01A7AF54" w14:textId="734DFDD0" w:rsidR="00F94FAE" w:rsidRPr="005E5892" w:rsidRDefault="00F94FAE" w:rsidP="005E5892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Die Gemeindegutseigenschaft hängt daher nicht davon ab, ob die Agrarbehörde im Zuge eines Regulierungsverfahrens die Gemeindegutseigenschaft ausdrücklich mit Bescheid fest</w:t>
      </w:r>
      <w:r w:rsidR="00D76FEA">
        <w:rPr>
          <w:sz w:val="24"/>
          <w:szCs w:val="24"/>
        </w:rPr>
        <w:softHyphen/>
      </w:r>
      <w:r>
        <w:rPr>
          <w:sz w:val="24"/>
          <w:szCs w:val="24"/>
        </w:rPr>
        <w:t>gestellt oder sich mit der Feststellung begnügt hat,</w:t>
      </w:r>
      <w:r w:rsidR="00D76FEA">
        <w:rPr>
          <w:sz w:val="24"/>
          <w:szCs w:val="24"/>
        </w:rPr>
        <w:t xml:space="preserve"> </w:t>
      </w:r>
      <w:r>
        <w:rPr>
          <w:sz w:val="24"/>
          <w:szCs w:val="24"/>
        </w:rPr>
        <w:t>dass es sich bei den betreffenden Grund</w:t>
      </w:r>
      <w:r w:rsidR="00D76FEA">
        <w:rPr>
          <w:sz w:val="24"/>
          <w:szCs w:val="24"/>
        </w:rPr>
        <w:softHyphen/>
      </w:r>
      <w:r>
        <w:rPr>
          <w:sz w:val="24"/>
          <w:szCs w:val="24"/>
        </w:rPr>
        <w:t>stücken um (nicht näher spezifizierte) agrargemeinschaf</w:t>
      </w:r>
      <w:r w:rsidR="00D76FEA">
        <w:rPr>
          <w:sz w:val="24"/>
          <w:szCs w:val="24"/>
        </w:rPr>
        <w:t>tliche</w:t>
      </w:r>
      <w:r>
        <w:rPr>
          <w:sz w:val="24"/>
          <w:szCs w:val="24"/>
        </w:rPr>
        <w:t xml:space="preserve"> Grundstücke handelt.</w:t>
      </w:r>
      <w:r w:rsidR="00D76FEA">
        <w:rPr>
          <w:sz w:val="24"/>
          <w:szCs w:val="24"/>
        </w:rPr>
        <w:t xml:space="preserve"> </w:t>
      </w:r>
      <w:r w:rsidR="00D76FEA" w:rsidRPr="00D76FEA">
        <w:rPr>
          <w:b/>
          <w:bCs/>
          <w:sz w:val="24"/>
          <w:szCs w:val="24"/>
        </w:rPr>
        <w:t>Ein sol</w:t>
      </w:r>
      <w:r w:rsidR="00D76FEA">
        <w:rPr>
          <w:b/>
          <w:bCs/>
          <w:sz w:val="24"/>
          <w:szCs w:val="24"/>
        </w:rPr>
        <w:softHyphen/>
      </w:r>
      <w:r w:rsidR="00D76FEA" w:rsidRPr="00D76FEA">
        <w:rPr>
          <w:b/>
          <w:bCs/>
          <w:sz w:val="24"/>
          <w:szCs w:val="24"/>
        </w:rPr>
        <w:t>cher Bescheid hat nur deklarative, nicht konstitutive Wirkung</w:t>
      </w:r>
      <w:r w:rsidR="00D76FEA">
        <w:rPr>
          <w:sz w:val="24"/>
          <w:szCs w:val="24"/>
        </w:rPr>
        <w:t xml:space="preserve"> (</w:t>
      </w:r>
      <w:proofErr w:type="spellStart"/>
      <w:r w:rsidR="00D76FEA">
        <w:rPr>
          <w:sz w:val="24"/>
          <w:szCs w:val="24"/>
        </w:rPr>
        <w:t>vfSlg</w:t>
      </w:r>
      <w:proofErr w:type="spellEnd"/>
      <w:r w:rsidR="00D76FEA">
        <w:rPr>
          <w:sz w:val="24"/>
          <w:szCs w:val="24"/>
        </w:rPr>
        <w:t xml:space="preserve"> </w:t>
      </w:r>
      <w:r w:rsidR="00D76FEA" w:rsidRPr="005E5892">
        <w:rPr>
          <w:sz w:val="24"/>
          <w:szCs w:val="24"/>
        </w:rPr>
        <w:t>19.262/2010</w:t>
      </w:r>
      <w:r w:rsidR="00D76FEA">
        <w:rPr>
          <w:sz w:val="24"/>
          <w:szCs w:val="24"/>
        </w:rPr>
        <w:t>/2011, III.2.1.2. der Entscheidungsgründe; so auch der VwGH [</w:t>
      </w:r>
      <w:proofErr w:type="spellStart"/>
      <w:r w:rsidR="00D76FEA">
        <w:rPr>
          <w:sz w:val="24"/>
          <w:szCs w:val="24"/>
        </w:rPr>
        <w:t>VwSlg</w:t>
      </w:r>
      <w:proofErr w:type="spellEnd"/>
      <w:r w:rsidR="00D76FEA">
        <w:rPr>
          <w:sz w:val="24"/>
          <w:szCs w:val="24"/>
        </w:rPr>
        <w:t xml:space="preserve"> 18.424 A/2012]). Das Fehlen </w:t>
      </w:r>
      <w:proofErr w:type="gramStart"/>
      <w:r w:rsidR="00D76FEA">
        <w:rPr>
          <w:sz w:val="24"/>
          <w:szCs w:val="24"/>
        </w:rPr>
        <w:t>eines derartigen ausdrücklichen Feststellung</w:t>
      </w:r>
      <w:proofErr w:type="gramEnd"/>
      <w:r w:rsidR="00D76FEA">
        <w:rPr>
          <w:sz w:val="24"/>
          <w:szCs w:val="24"/>
        </w:rPr>
        <w:t xml:space="preserve"> hatte demnach keineswegs den Untergang der Gemeindegutseigenschaft zur Folge. Andererseits bedeutete das Vorliegen eines solchen Bescheides nur, dass die Gemeindegutseigenschaft rechtskräftig und somit verbindlich festgestellt ist (</w:t>
      </w:r>
      <w:r w:rsidR="00D76FEA" w:rsidRPr="00D76FEA">
        <w:rPr>
          <w:i/>
          <w:iCs/>
          <w:sz w:val="24"/>
          <w:szCs w:val="24"/>
        </w:rPr>
        <w:t>Kienberger</w:t>
      </w:r>
      <w:r w:rsidR="00D76FEA">
        <w:rPr>
          <w:sz w:val="24"/>
          <w:szCs w:val="24"/>
        </w:rPr>
        <w:t xml:space="preserve"> wie vor).</w:t>
      </w:r>
    </w:p>
    <w:bookmarkEnd w:id="9"/>
    <w:bookmarkEnd w:id="10"/>
    <w:p w14:paraId="0D40187A" w14:textId="6E24119B" w:rsidR="00AB0697" w:rsidRPr="00560E1E" w:rsidRDefault="001E32DE" w:rsidP="005E5892">
      <w:pPr>
        <w:pStyle w:val="Listenabsatz"/>
        <w:spacing w:before="240" w:after="240" w:line="276" w:lineRule="auto"/>
        <w:ind w:left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Zitat </w:t>
      </w:r>
      <w:proofErr w:type="gramStart"/>
      <w:r>
        <w:rPr>
          <w:b/>
          <w:bCs/>
          <w:sz w:val="24"/>
          <w:szCs w:val="24"/>
        </w:rPr>
        <w:t>aus dem</w:t>
      </w:r>
      <w:r w:rsidR="005E5892">
        <w:rPr>
          <w:b/>
          <w:bCs/>
          <w:sz w:val="24"/>
          <w:szCs w:val="24"/>
        </w:rPr>
        <w:t xml:space="preserve"> </w:t>
      </w:r>
      <w:r w:rsidR="00C30C1F" w:rsidRPr="00560E1E">
        <w:rPr>
          <w:b/>
          <w:bCs/>
          <w:sz w:val="24"/>
          <w:szCs w:val="24"/>
        </w:rPr>
        <w:t>Erk</w:t>
      </w:r>
      <w:r w:rsidR="00560E1E">
        <w:rPr>
          <w:b/>
          <w:bCs/>
          <w:sz w:val="24"/>
          <w:szCs w:val="24"/>
        </w:rPr>
        <w:t>enntnis</w:t>
      </w:r>
      <w:proofErr w:type="gramEnd"/>
      <w:r w:rsidR="00560E1E">
        <w:rPr>
          <w:b/>
          <w:bCs/>
          <w:sz w:val="24"/>
          <w:szCs w:val="24"/>
        </w:rPr>
        <w:t xml:space="preserve"> des Verfassungsgerichtshofes,</w:t>
      </w:r>
      <w:r w:rsidR="00C30C1F" w:rsidRPr="00560E1E">
        <w:rPr>
          <w:b/>
          <w:bCs/>
          <w:sz w:val="24"/>
          <w:szCs w:val="24"/>
        </w:rPr>
        <w:t xml:space="preserve"> </w:t>
      </w:r>
      <w:proofErr w:type="spellStart"/>
      <w:r w:rsidR="00AB0697" w:rsidRPr="00560E1E">
        <w:rPr>
          <w:b/>
          <w:bCs/>
          <w:sz w:val="24"/>
          <w:szCs w:val="24"/>
        </w:rPr>
        <w:t>VfSlg</w:t>
      </w:r>
      <w:proofErr w:type="spellEnd"/>
      <w:r w:rsidR="00AB0697" w:rsidRPr="00560E1E">
        <w:rPr>
          <w:b/>
          <w:bCs/>
          <w:sz w:val="24"/>
          <w:szCs w:val="24"/>
        </w:rPr>
        <w:t xml:space="preserve"> 19</w:t>
      </w:r>
      <w:r w:rsidR="00961A2D">
        <w:rPr>
          <w:b/>
          <w:bCs/>
          <w:sz w:val="24"/>
          <w:szCs w:val="24"/>
        </w:rPr>
        <w:t>.</w:t>
      </w:r>
      <w:r w:rsidR="00AB0697" w:rsidRPr="00560E1E">
        <w:rPr>
          <w:b/>
          <w:bCs/>
          <w:sz w:val="24"/>
          <w:szCs w:val="24"/>
        </w:rPr>
        <w:t>262</w:t>
      </w:r>
      <w:r w:rsidR="00C97956" w:rsidRPr="00560E1E">
        <w:rPr>
          <w:b/>
          <w:bCs/>
          <w:sz w:val="24"/>
          <w:szCs w:val="24"/>
        </w:rPr>
        <w:t>/2</w:t>
      </w:r>
      <w:r w:rsidR="00961A2D">
        <w:rPr>
          <w:b/>
          <w:bCs/>
          <w:sz w:val="24"/>
          <w:szCs w:val="24"/>
        </w:rPr>
        <w:t>0</w:t>
      </w:r>
      <w:r w:rsidR="00C97956" w:rsidRPr="00560E1E">
        <w:rPr>
          <w:b/>
          <w:bCs/>
          <w:sz w:val="24"/>
          <w:szCs w:val="24"/>
        </w:rPr>
        <w:t>10</w:t>
      </w:r>
      <w:r w:rsidR="00056073">
        <w:rPr>
          <w:b/>
          <w:bCs/>
          <w:sz w:val="24"/>
          <w:szCs w:val="24"/>
        </w:rPr>
        <w:t xml:space="preserve">, </w:t>
      </w:r>
      <w:r w:rsidR="00C97956" w:rsidRPr="00560E1E">
        <w:rPr>
          <w:b/>
          <w:bCs/>
          <w:sz w:val="24"/>
          <w:szCs w:val="24"/>
        </w:rPr>
        <w:t>(II.A.2.3.6. der Entscheidungsgründe):</w:t>
      </w:r>
      <w:r w:rsidR="00AB0697" w:rsidRPr="00560E1E">
        <w:rPr>
          <w:b/>
          <w:bCs/>
          <w:sz w:val="24"/>
          <w:szCs w:val="24"/>
        </w:rPr>
        <w:t xml:space="preserve"> </w:t>
      </w:r>
    </w:p>
    <w:p w14:paraId="36FC5E0E" w14:textId="7FC966E3" w:rsidR="00A34D98" w:rsidRPr="00F844D5" w:rsidRDefault="00AB0697" w:rsidP="00F844D5">
      <w:pPr>
        <w:pStyle w:val="Listenabsatz"/>
        <w:spacing w:before="240" w:after="180" w:line="276" w:lineRule="auto"/>
        <w:ind w:left="709"/>
        <w:contextualSpacing w:val="0"/>
        <w:rPr>
          <w:i/>
          <w:iCs/>
          <w:sz w:val="24"/>
          <w:szCs w:val="24"/>
        </w:rPr>
      </w:pPr>
      <w:r w:rsidRPr="00560E1E">
        <w:rPr>
          <w:i/>
          <w:iCs/>
          <w:sz w:val="24"/>
          <w:szCs w:val="24"/>
        </w:rPr>
        <w:t>Angesichts der verfassungsrechtlichen Unbedenklichkeit der angewendeten</w:t>
      </w:r>
      <w:r w:rsidR="00C97956" w:rsidRPr="00560E1E">
        <w:rPr>
          <w:i/>
          <w:iCs/>
          <w:sz w:val="24"/>
          <w:szCs w:val="24"/>
        </w:rPr>
        <w:t xml:space="preserve"> Rechts</w:t>
      </w:r>
      <w:r w:rsidR="00AD41BB">
        <w:rPr>
          <w:i/>
          <w:iCs/>
          <w:sz w:val="24"/>
          <w:szCs w:val="24"/>
        </w:rPr>
        <w:softHyphen/>
      </w:r>
      <w:r w:rsidR="00C97956" w:rsidRPr="00560E1E">
        <w:rPr>
          <w:i/>
          <w:iCs/>
          <w:sz w:val="24"/>
          <w:szCs w:val="24"/>
        </w:rPr>
        <w:t>vor</w:t>
      </w:r>
      <w:r w:rsidR="00C97956" w:rsidRPr="00560E1E">
        <w:rPr>
          <w:i/>
          <w:iCs/>
          <w:sz w:val="24"/>
          <w:szCs w:val="24"/>
        </w:rPr>
        <w:softHyphen/>
        <w:t>schriften</w:t>
      </w:r>
      <w:r w:rsidRPr="00560E1E">
        <w:rPr>
          <w:i/>
          <w:iCs/>
          <w:sz w:val="24"/>
          <w:szCs w:val="24"/>
        </w:rPr>
        <w:t xml:space="preserve"> könnte das Eigentumsrecht der </w:t>
      </w:r>
      <w:proofErr w:type="spellStart"/>
      <w:r w:rsidRPr="00560E1E">
        <w:rPr>
          <w:i/>
          <w:iCs/>
          <w:sz w:val="24"/>
          <w:szCs w:val="24"/>
        </w:rPr>
        <w:t>beschwerdeführenden</w:t>
      </w:r>
      <w:proofErr w:type="spellEnd"/>
      <w:r w:rsidRPr="00560E1E">
        <w:rPr>
          <w:i/>
          <w:iCs/>
          <w:sz w:val="24"/>
          <w:szCs w:val="24"/>
        </w:rPr>
        <w:t xml:space="preserve"> Agrar</w:t>
      </w:r>
      <w:r w:rsidR="00961A2D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>gemein</w:t>
      </w:r>
      <w:r w:rsidR="00AD41BB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>schaft nur durch eine denk</w:t>
      </w:r>
      <w:r w:rsidR="00943124" w:rsidRPr="00560E1E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>unmögliche Anwendung der gesetzlichen Vor</w:t>
      </w:r>
      <w:r w:rsidR="00BB1CEB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>schriften ver</w:t>
      </w:r>
      <w:r w:rsidR="00AE42CC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>letzt worden sein. Wenn die Agrargemeinschaft die behördliche Fest</w:t>
      </w:r>
      <w:r w:rsidR="00BB1CEB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>stellung bean</w:t>
      </w:r>
      <w:r w:rsidR="00AE42CC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 xml:space="preserve">tragt, ob bestimmte Grundstücke solche im Sinne des Erk. </w:t>
      </w:r>
      <w:proofErr w:type="spellStart"/>
      <w:r w:rsidRPr="00560E1E">
        <w:rPr>
          <w:i/>
          <w:iCs/>
          <w:sz w:val="24"/>
          <w:szCs w:val="24"/>
        </w:rPr>
        <w:t>VfSlg</w:t>
      </w:r>
      <w:proofErr w:type="spellEnd"/>
      <w:r w:rsidRPr="00560E1E">
        <w:rPr>
          <w:i/>
          <w:iCs/>
          <w:sz w:val="24"/>
          <w:szCs w:val="24"/>
        </w:rPr>
        <w:t xml:space="preserve">. 18.446/2008 sind, </w:t>
      </w:r>
      <w:r w:rsidRPr="0001247C">
        <w:rPr>
          <w:i/>
          <w:iCs/>
          <w:sz w:val="24"/>
          <w:szCs w:val="24"/>
          <w:u w:val="single"/>
        </w:rPr>
        <w:t>so kommt es in erster Linie auf die Eigentumsverhältnisse im Zeitpunkt der Regulierung an</w:t>
      </w:r>
      <w:r w:rsidRPr="00560E1E">
        <w:rPr>
          <w:i/>
          <w:iCs/>
          <w:sz w:val="24"/>
          <w:szCs w:val="24"/>
        </w:rPr>
        <w:t xml:space="preserve">, weil die </w:t>
      </w:r>
      <w:proofErr w:type="gramStart"/>
      <w:r w:rsidRPr="00560E1E">
        <w:rPr>
          <w:i/>
          <w:iCs/>
          <w:sz w:val="24"/>
          <w:szCs w:val="24"/>
        </w:rPr>
        <w:t>diese</w:t>
      </w:r>
      <w:r w:rsidR="00AD41BB">
        <w:rPr>
          <w:i/>
          <w:iCs/>
          <w:sz w:val="24"/>
          <w:szCs w:val="24"/>
        </w:rPr>
        <w:t>s</w:t>
      </w:r>
      <w:r w:rsidRPr="00560E1E">
        <w:rPr>
          <w:i/>
          <w:iCs/>
          <w:sz w:val="24"/>
          <w:szCs w:val="24"/>
        </w:rPr>
        <w:t xml:space="preserve"> Erkenntnis</w:t>
      </w:r>
      <w:proofErr w:type="gramEnd"/>
      <w:r w:rsidR="00AD41BB">
        <w:rPr>
          <w:i/>
          <w:iCs/>
          <w:sz w:val="24"/>
          <w:szCs w:val="24"/>
        </w:rPr>
        <w:t xml:space="preserve"> </w:t>
      </w:r>
      <w:r w:rsidRPr="00560E1E">
        <w:rPr>
          <w:i/>
          <w:iCs/>
          <w:sz w:val="24"/>
          <w:szCs w:val="24"/>
        </w:rPr>
        <w:t>tragenden verfassungs</w:t>
      </w:r>
      <w:r w:rsidR="00AD41BB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 xml:space="preserve">rechtlichen Erwägungen </w:t>
      </w:r>
      <w:r w:rsidRPr="0001247C">
        <w:rPr>
          <w:i/>
          <w:iCs/>
          <w:sz w:val="24"/>
          <w:szCs w:val="24"/>
          <w:u w:val="single"/>
        </w:rPr>
        <w:t>die Über</w:t>
      </w:r>
      <w:r w:rsidR="00AE42CC" w:rsidRPr="0001247C">
        <w:rPr>
          <w:i/>
          <w:iCs/>
          <w:sz w:val="24"/>
          <w:szCs w:val="24"/>
          <w:u w:val="single"/>
        </w:rPr>
        <w:softHyphen/>
      </w:r>
      <w:r w:rsidRPr="0001247C">
        <w:rPr>
          <w:i/>
          <w:iCs/>
          <w:sz w:val="24"/>
          <w:szCs w:val="24"/>
          <w:u w:val="single"/>
        </w:rPr>
        <w:t>tragung von Eigentum einer (politischen) Gemeinde auf eine Agrargemeinschaft durch den behördlichen Akt der Regulie</w:t>
      </w:r>
      <w:r w:rsidR="00961A2D" w:rsidRPr="0001247C">
        <w:rPr>
          <w:i/>
          <w:iCs/>
          <w:sz w:val="24"/>
          <w:szCs w:val="24"/>
          <w:u w:val="single"/>
        </w:rPr>
        <w:softHyphen/>
      </w:r>
      <w:r w:rsidRPr="0001247C">
        <w:rPr>
          <w:i/>
          <w:iCs/>
          <w:sz w:val="24"/>
          <w:szCs w:val="24"/>
          <w:u w:val="single"/>
        </w:rPr>
        <w:t>rung zum Ausgangspunkt haben</w:t>
      </w:r>
      <w:r w:rsidRPr="00560E1E">
        <w:rPr>
          <w:i/>
          <w:iCs/>
          <w:sz w:val="24"/>
          <w:szCs w:val="24"/>
        </w:rPr>
        <w:t xml:space="preserve">. Dem trägt </w:t>
      </w:r>
      <w:r w:rsidR="00C97956" w:rsidRPr="00560E1E">
        <w:rPr>
          <w:i/>
          <w:iCs/>
          <w:sz w:val="24"/>
          <w:szCs w:val="24"/>
        </w:rPr>
        <w:t>§</w:t>
      </w:r>
      <w:r w:rsidR="00AE42CC">
        <w:rPr>
          <w:i/>
          <w:iCs/>
          <w:sz w:val="24"/>
          <w:szCs w:val="24"/>
        </w:rPr>
        <w:t> </w:t>
      </w:r>
      <w:r w:rsidRPr="00560E1E">
        <w:rPr>
          <w:i/>
          <w:iCs/>
          <w:sz w:val="24"/>
          <w:szCs w:val="24"/>
        </w:rPr>
        <w:t>33 Abs</w:t>
      </w:r>
      <w:r w:rsidR="00F844D5">
        <w:rPr>
          <w:i/>
          <w:iCs/>
          <w:sz w:val="24"/>
          <w:szCs w:val="24"/>
        </w:rPr>
        <w:t xml:space="preserve"> </w:t>
      </w:r>
      <w:r w:rsidRPr="00560E1E">
        <w:rPr>
          <w:i/>
          <w:iCs/>
          <w:sz w:val="24"/>
          <w:szCs w:val="24"/>
        </w:rPr>
        <w:t xml:space="preserve">2 </w:t>
      </w:r>
      <w:proofErr w:type="spellStart"/>
      <w:r w:rsidRPr="00560E1E">
        <w:rPr>
          <w:i/>
          <w:iCs/>
          <w:sz w:val="24"/>
          <w:szCs w:val="24"/>
        </w:rPr>
        <w:t>lit</w:t>
      </w:r>
      <w:proofErr w:type="spellEnd"/>
      <w:r w:rsidR="00F94FAE">
        <w:rPr>
          <w:i/>
          <w:iCs/>
          <w:sz w:val="24"/>
          <w:szCs w:val="24"/>
        </w:rPr>
        <w:t xml:space="preserve"> </w:t>
      </w:r>
      <w:r w:rsidRPr="00560E1E">
        <w:rPr>
          <w:i/>
          <w:iCs/>
          <w:sz w:val="24"/>
          <w:szCs w:val="24"/>
        </w:rPr>
        <w:t>c Z</w:t>
      </w:r>
      <w:r w:rsidR="00F94FAE">
        <w:rPr>
          <w:i/>
          <w:iCs/>
          <w:sz w:val="24"/>
          <w:szCs w:val="24"/>
        </w:rPr>
        <w:t xml:space="preserve"> </w:t>
      </w:r>
      <w:r w:rsidRPr="00560E1E">
        <w:rPr>
          <w:i/>
          <w:iCs/>
          <w:sz w:val="24"/>
          <w:szCs w:val="24"/>
        </w:rPr>
        <w:t>2 TFLG 1996 idF LGBl. 7/2010 insofern Rechnung, als dort der Ausdruck "vormals" auf den Zeitpunkt vor der Regulierung bezogen wird (arg.: "vormals im Eigen</w:t>
      </w:r>
      <w:r w:rsidR="00AE42CC">
        <w:rPr>
          <w:i/>
          <w:iCs/>
          <w:sz w:val="24"/>
          <w:szCs w:val="24"/>
        </w:rPr>
        <w:softHyphen/>
      </w:r>
      <w:r w:rsidRPr="00560E1E">
        <w:rPr>
          <w:i/>
          <w:iCs/>
          <w:sz w:val="24"/>
          <w:szCs w:val="24"/>
        </w:rPr>
        <w:t>tum einer Gemeinde gestanden sind, durch Regulierungsplan ins Eigentum einer Agrargemeinschaft übertragen wurden").</w:t>
      </w:r>
    </w:p>
    <w:p w14:paraId="4594DF19" w14:textId="2FCA68C2" w:rsidR="00A34D98" w:rsidRPr="00F844D5" w:rsidRDefault="00A34D98" w:rsidP="00F844D5">
      <w:pPr>
        <w:pStyle w:val="Listenabsatz"/>
        <w:spacing w:before="240" w:after="240" w:line="276" w:lineRule="auto"/>
        <w:ind w:left="0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Zitat aus dem </w:t>
      </w:r>
      <w:r w:rsidRPr="00560E1E">
        <w:rPr>
          <w:b/>
          <w:bCs/>
          <w:sz w:val="24"/>
          <w:szCs w:val="24"/>
        </w:rPr>
        <w:t>Erk</w:t>
      </w:r>
      <w:r>
        <w:rPr>
          <w:b/>
          <w:bCs/>
          <w:sz w:val="24"/>
          <w:szCs w:val="24"/>
        </w:rPr>
        <w:t>enntnis des Verfassungsgerichtshofes,</w:t>
      </w:r>
      <w:r w:rsidRPr="00560E1E">
        <w:rPr>
          <w:b/>
          <w:bCs/>
          <w:sz w:val="24"/>
          <w:szCs w:val="24"/>
        </w:rPr>
        <w:t xml:space="preserve"> </w:t>
      </w:r>
      <w:proofErr w:type="spellStart"/>
      <w:r w:rsidRPr="00560E1E">
        <w:rPr>
          <w:b/>
          <w:bCs/>
          <w:sz w:val="24"/>
          <w:szCs w:val="24"/>
        </w:rPr>
        <w:t>VfSlg</w:t>
      </w:r>
      <w:proofErr w:type="spellEnd"/>
      <w:r w:rsidRPr="00560E1E">
        <w:rPr>
          <w:b/>
          <w:bCs/>
          <w:sz w:val="24"/>
          <w:szCs w:val="24"/>
        </w:rPr>
        <w:t xml:space="preserve"> 19</w:t>
      </w:r>
      <w:r>
        <w:rPr>
          <w:b/>
          <w:bCs/>
          <w:sz w:val="24"/>
          <w:szCs w:val="24"/>
        </w:rPr>
        <w:t>.</w:t>
      </w:r>
      <w:r w:rsidR="00F844D5">
        <w:rPr>
          <w:b/>
          <w:bCs/>
          <w:sz w:val="24"/>
          <w:szCs w:val="24"/>
        </w:rPr>
        <w:t>320</w:t>
      </w:r>
      <w:r w:rsidRPr="00560E1E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</w:t>
      </w:r>
      <w:r w:rsidRPr="00560E1E">
        <w:rPr>
          <w:b/>
          <w:bCs/>
          <w:sz w:val="24"/>
          <w:szCs w:val="24"/>
        </w:rPr>
        <w:t>1</w:t>
      </w:r>
      <w:r w:rsidR="00F844D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, </w:t>
      </w:r>
      <w:r w:rsidRPr="00560E1E">
        <w:rPr>
          <w:b/>
          <w:bCs/>
          <w:sz w:val="24"/>
          <w:szCs w:val="24"/>
        </w:rPr>
        <w:t>(</w:t>
      </w:r>
      <w:proofErr w:type="gramStart"/>
      <w:r w:rsidRPr="00560E1E">
        <w:rPr>
          <w:b/>
          <w:bCs/>
          <w:sz w:val="24"/>
          <w:szCs w:val="24"/>
        </w:rPr>
        <w:t>II</w:t>
      </w:r>
      <w:r w:rsidR="00F844D5">
        <w:rPr>
          <w:b/>
          <w:bCs/>
          <w:sz w:val="24"/>
          <w:szCs w:val="24"/>
        </w:rPr>
        <w:t>I.</w:t>
      </w:r>
      <w:r w:rsidRPr="00560E1E">
        <w:rPr>
          <w:b/>
          <w:bCs/>
          <w:sz w:val="24"/>
          <w:szCs w:val="24"/>
        </w:rPr>
        <w:t>.</w:t>
      </w:r>
      <w:proofErr w:type="gramEnd"/>
      <w:r w:rsidRPr="00560E1E">
        <w:rPr>
          <w:b/>
          <w:bCs/>
          <w:sz w:val="24"/>
          <w:szCs w:val="24"/>
        </w:rPr>
        <w:t>2.</w:t>
      </w:r>
      <w:r w:rsidR="00F844D5">
        <w:rPr>
          <w:b/>
          <w:bCs/>
          <w:sz w:val="24"/>
          <w:szCs w:val="24"/>
        </w:rPr>
        <w:t>1.2</w:t>
      </w:r>
      <w:r w:rsidRPr="00560E1E">
        <w:rPr>
          <w:b/>
          <w:bCs/>
          <w:sz w:val="24"/>
          <w:szCs w:val="24"/>
        </w:rPr>
        <w:t xml:space="preserve">. der Entscheidungsgründe): </w:t>
      </w:r>
    </w:p>
    <w:p w14:paraId="5480E50F" w14:textId="0A79DABE" w:rsidR="00A34D98" w:rsidRPr="00001B81" w:rsidRDefault="00A34D98" w:rsidP="005E5892">
      <w:pPr>
        <w:pStyle w:val="Listenabsatz"/>
        <w:spacing w:before="240" w:after="120" w:line="276" w:lineRule="auto"/>
        <w:ind w:left="708"/>
        <w:rPr>
          <w:i/>
          <w:iCs/>
          <w:sz w:val="24"/>
          <w:szCs w:val="24"/>
        </w:rPr>
      </w:pPr>
      <w:r w:rsidRPr="00F844D5">
        <w:rPr>
          <w:i/>
          <w:iCs/>
          <w:sz w:val="24"/>
          <w:szCs w:val="24"/>
        </w:rPr>
        <w:t xml:space="preserve">Die Rechtsansicht der </w:t>
      </w:r>
      <w:proofErr w:type="spellStart"/>
      <w:r w:rsidRPr="00F844D5">
        <w:rPr>
          <w:i/>
          <w:iCs/>
          <w:sz w:val="24"/>
          <w:szCs w:val="24"/>
        </w:rPr>
        <w:t>beschwerdeführenden</w:t>
      </w:r>
      <w:proofErr w:type="spellEnd"/>
      <w:r w:rsidRPr="00F844D5">
        <w:rPr>
          <w:i/>
          <w:iCs/>
          <w:sz w:val="24"/>
          <w:szCs w:val="24"/>
        </w:rPr>
        <w:t xml:space="preserve"> Agrargemeinschaft, die Anwen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dung der Bestimmungen des TFLG 1996 idF LGBl. 7/2010 über die "Gemeinde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guts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agra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rge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mein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 xml:space="preserve">schaft" setze die </w:t>
      </w:r>
      <w:proofErr w:type="spellStart"/>
      <w:r w:rsidRPr="00F844D5">
        <w:rPr>
          <w:i/>
          <w:iCs/>
          <w:sz w:val="24"/>
          <w:szCs w:val="24"/>
        </w:rPr>
        <w:t>bescheidförmige</w:t>
      </w:r>
      <w:proofErr w:type="spellEnd"/>
      <w:r w:rsidRPr="00F844D5">
        <w:rPr>
          <w:i/>
          <w:iCs/>
          <w:sz w:val="24"/>
          <w:szCs w:val="24"/>
        </w:rPr>
        <w:t xml:space="preserve"> Feststellung des Vorliegens atypischen Gemeinde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 xml:space="preserve">gutes voraus, trifft nicht zu: Das Gesetz sieht eine </w:t>
      </w:r>
      <w:proofErr w:type="spellStart"/>
      <w:r w:rsidRPr="00F844D5">
        <w:rPr>
          <w:i/>
          <w:iCs/>
          <w:sz w:val="24"/>
          <w:szCs w:val="24"/>
        </w:rPr>
        <w:t>bescheidförmige</w:t>
      </w:r>
      <w:proofErr w:type="spellEnd"/>
      <w:r w:rsidRPr="00F844D5">
        <w:rPr>
          <w:i/>
          <w:iCs/>
          <w:sz w:val="24"/>
          <w:szCs w:val="24"/>
        </w:rPr>
        <w:t xml:space="preserve"> Feststel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lung, ob ein Grundstück ein agrargemeinschaftliches Grundstück - hier eines gemäß §</w:t>
      </w:r>
      <w:r w:rsidR="00F844D5">
        <w:rPr>
          <w:i/>
          <w:iCs/>
          <w:sz w:val="24"/>
          <w:szCs w:val="24"/>
        </w:rPr>
        <w:t xml:space="preserve"> </w:t>
      </w:r>
      <w:r w:rsidRPr="00F844D5">
        <w:rPr>
          <w:i/>
          <w:iCs/>
          <w:sz w:val="24"/>
          <w:szCs w:val="24"/>
        </w:rPr>
        <w:t>33 Abs</w:t>
      </w:r>
      <w:r w:rsidR="00F844D5">
        <w:rPr>
          <w:i/>
          <w:iCs/>
          <w:sz w:val="24"/>
          <w:szCs w:val="24"/>
        </w:rPr>
        <w:t xml:space="preserve"> </w:t>
      </w:r>
      <w:r w:rsidRPr="00F844D5">
        <w:rPr>
          <w:i/>
          <w:iCs/>
          <w:sz w:val="24"/>
          <w:szCs w:val="24"/>
        </w:rPr>
        <w:t xml:space="preserve">2 </w:t>
      </w:r>
      <w:proofErr w:type="spellStart"/>
      <w:r w:rsidRPr="00F844D5">
        <w:rPr>
          <w:i/>
          <w:iCs/>
          <w:sz w:val="24"/>
          <w:szCs w:val="24"/>
        </w:rPr>
        <w:t>lit</w:t>
      </w:r>
      <w:proofErr w:type="spellEnd"/>
      <w:r w:rsidR="00F844D5">
        <w:rPr>
          <w:i/>
          <w:iCs/>
          <w:sz w:val="24"/>
          <w:szCs w:val="24"/>
        </w:rPr>
        <w:t xml:space="preserve"> </w:t>
      </w:r>
      <w:r w:rsidRPr="00F844D5">
        <w:rPr>
          <w:i/>
          <w:iCs/>
          <w:sz w:val="24"/>
          <w:szCs w:val="24"/>
        </w:rPr>
        <w:t>c Z</w:t>
      </w:r>
      <w:r w:rsidR="00F844D5">
        <w:rPr>
          <w:i/>
          <w:iCs/>
          <w:sz w:val="24"/>
          <w:szCs w:val="24"/>
        </w:rPr>
        <w:t xml:space="preserve"> </w:t>
      </w:r>
      <w:r w:rsidRPr="00F844D5">
        <w:rPr>
          <w:i/>
          <w:iCs/>
          <w:sz w:val="24"/>
          <w:szCs w:val="24"/>
        </w:rPr>
        <w:t>2 TFLG 1996 idF LGBl. 7/2010 - ist, nur für den Zweifelsfall vor (vgl. §</w:t>
      </w:r>
      <w:r w:rsidR="00F844D5">
        <w:rPr>
          <w:i/>
          <w:iCs/>
          <w:sz w:val="24"/>
          <w:szCs w:val="24"/>
        </w:rPr>
        <w:t xml:space="preserve"> </w:t>
      </w:r>
      <w:r w:rsidRPr="00F844D5">
        <w:rPr>
          <w:i/>
          <w:iCs/>
          <w:sz w:val="24"/>
          <w:szCs w:val="24"/>
        </w:rPr>
        <w:t>33 Abs</w:t>
      </w:r>
      <w:r w:rsidR="00F844D5">
        <w:rPr>
          <w:i/>
          <w:iCs/>
          <w:sz w:val="24"/>
          <w:szCs w:val="24"/>
        </w:rPr>
        <w:t xml:space="preserve"> </w:t>
      </w:r>
      <w:r w:rsidRPr="00F844D5">
        <w:rPr>
          <w:i/>
          <w:iCs/>
          <w:sz w:val="24"/>
          <w:szCs w:val="24"/>
        </w:rPr>
        <w:t>6 Satz 1 TFLG 1996). Die Anwendbarkeit der Regelungen über die "Gemeindeguts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agrar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ge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mein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>schaft" hängt aber allein vom Vorliegen der im Gesetz umschriebenen Voraus</w:t>
      </w:r>
      <w:r w:rsidR="00F844D5">
        <w:rPr>
          <w:i/>
          <w:iCs/>
          <w:sz w:val="24"/>
          <w:szCs w:val="24"/>
        </w:rPr>
        <w:softHyphen/>
      </w:r>
      <w:r w:rsidRPr="00F844D5">
        <w:rPr>
          <w:i/>
          <w:iCs/>
          <w:sz w:val="24"/>
          <w:szCs w:val="24"/>
        </w:rPr>
        <w:t xml:space="preserve">setzungen ab. </w:t>
      </w:r>
      <w:r w:rsidRPr="0001247C">
        <w:rPr>
          <w:i/>
          <w:iCs/>
          <w:sz w:val="24"/>
          <w:szCs w:val="24"/>
          <w:u w:val="single"/>
        </w:rPr>
        <w:t>Ein Feststellungsbescheid nach §</w:t>
      </w:r>
      <w:r w:rsidR="00F844D5" w:rsidRPr="0001247C">
        <w:rPr>
          <w:i/>
          <w:iCs/>
          <w:sz w:val="24"/>
          <w:szCs w:val="24"/>
          <w:u w:val="single"/>
        </w:rPr>
        <w:t xml:space="preserve"> </w:t>
      </w:r>
      <w:r w:rsidRPr="0001247C">
        <w:rPr>
          <w:i/>
          <w:iCs/>
          <w:sz w:val="24"/>
          <w:szCs w:val="24"/>
          <w:u w:val="single"/>
        </w:rPr>
        <w:t>33 Abs</w:t>
      </w:r>
      <w:r w:rsidR="00F844D5" w:rsidRPr="0001247C">
        <w:rPr>
          <w:i/>
          <w:iCs/>
          <w:sz w:val="24"/>
          <w:szCs w:val="24"/>
          <w:u w:val="single"/>
        </w:rPr>
        <w:t xml:space="preserve"> </w:t>
      </w:r>
      <w:r w:rsidRPr="0001247C">
        <w:rPr>
          <w:i/>
          <w:iCs/>
          <w:sz w:val="24"/>
          <w:szCs w:val="24"/>
          <w:u w:val="single"/>
        </w:rPr>
        <w:t>6 Satz 1 TFLG 1996 hätte nicht konstitutive, sondern lediglich deklarative Wirkung</w:t>
      </w:r>
      <w:r w:rsidRPr="00F844D5">
        <w:rPr>
          <w:i/>
          <w:iCs/>
          <w:sz w:val="24"/>
          <w:szCs w:val="24"/>
        </w:rPr>
        <w:t>.</w:t>
      </w:r>
    </w:p>
    <w:sectPr w:rsidR="00A34D98" w:rsidRPr="00001B81">
      <w:headerReference w:type="default" r:id="rId14"/>
      <w:footerReference w:type="default" r:id="rId15"/>
      <w:pgSz w:w="11906" w:h="16838"/>
      <w:pgMar w:top="1417" w:right="1417" w:bottom="113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4FBC" w14:textId="77777777" w:rsidR="00274479" w:rsidRDefault="00274479">
      <w:pPr>
        <w:spacing w:after="0" w:line="240" w:lineRule="auto"/>
      </w:pPr>
      <w:r>
        <w:separator/>
      </w:r>
    </w:p>
  </w:endnote>
  <w:endnote w:type="continuationSeparator" w:id="0">
    <w:p w14:paraId="38229107" w14:textId="77777777" w:rsidR="00274479" w:rsidRDefault="0027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0324" w14:textId="77777777" w:rsidR="00BB075A" w:rsidRDefault="00BB075A" w:rsidP="00BB075A">
    <w:pPr>
      <w:pStyle w:val="Fuzeile"/>
      <w:jc w:val="center"/>
      <w:rPr>
        <w:rFonts w:cstheme="minorHAnsi"/>
      </w:rPr>
    </w:pPr>
    <w:r>
      <w:rPr>
        <w:rFonts w:eastAsia="Yu Gothic UI Semibold" w:cstheme="minorHAnsi"/>
      </w:rPr>
      <w:t>&gt;&gt; Gemeindeland in Gemeindehand &lt;&lt;</w:t>
    </w:r>
  </w:p>
  <w:p w14:paraId="51F23EFB" w14:textId="0FA30551" w:rsidR="007F0C8E" w:rsidRDefault="007F0C8E" w:rsidP="007F0C8E">
    <w:pPr>
      <w:pStyle w:val="Fuzeile"/>
      <w:jc w:val="center"/>
    </w:pPr>
  </w:p>
  <w:p w14:paraId="72245B02" w14:textId="77777777" w:rsidR="007F0C8E" w:rsidRDefault="007F0C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9BD4" w14:textId="77777777" w:rsidR="00274479" w:rsidRDefault="00274479">
      <w:pPr>
        <w:spacing w:after="0" w:line="240" w:lineRule="auto"/>
      </w:pPr>
      <w:r>
        <w:separator/>
      </w:r>
    </w:p>
  </w:footnote>
  <w:footnote w:type="continuationSeparator" w:id="0">
    <w:p w14:paraId="3CF7D501" w14:textId="77777777" w:rsidR="00274479" w:rsidRDefault="0027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9C43" w14:textId="286E20D7" w:rsidR="00056073" w:rsidRDefault="00056073">
    <w:pPr>
      <w:pStyle w:val="Kopfzeile"/>
      <w:jc w:val="center"/>
    </w:pPr>
  </w:p>
  <w:p w14:paraId="01E42005" w14:textId="77777777" w:rsidR="00056073" w:rsidRDefault="000560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449"/>
    <w:multiLevelType w:val="multilevel"/>
    <w:tmpl w:val="D5304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BF3A14"/>
    <w:multiLevelType w:val="hybridMultilevel"/>
    <w:tmpl w:val="1D3E3B9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81404"/>
    <w:multiLevelType w:val="hybridMultilevel"/>
    <w:tmpl w:val="4184BE92"/>
    <w:lvl w:ilvl="0" w:tplc="0C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457EFB"/>
    <w:multiLevelType w:val="hybridMultilevel"/>
    <w:tmpl w:val="6EE234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B4FBF"/>
    <w:multiLevelType w:val="hybridMultilevel"/>
    <w:tmpl w:val="25BCFF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58DE"/>
    <w:multiLevelType w:val="hybridMultilevel"/>
    <w:tmpl w:val="0F1E3DB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74601"/>
    <w:multiLevelType w:val="hybridMultilevel"/>
    <w:tmpl w:val="A524FA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622E5"/>
    <w:multiLevelType w:val="multilevel"/>
    <w:tmpl w:val="AF2EE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47C10CF"/>
    <w:multiLevelType w:val="hybridMultilevel"/>
    <w:tmpl w:val="B086AEC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8C8505A"/>
    <w:multiLevelType w:val="multilevel"/>
    <w:tmpl w:val="8ECA419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i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6E"/>
    <w:rsid w:val="00001B81"/>
    <w:rsid w:val="00001FDF"/>
    <w:rsid w:val="0001247C"/>
    <w:rsid w:val="00052DEE"/>
    <w:rsid w:val="00056073"/>
    <w:rsid w:val="000B3CDD"/>
    <w:rsid w:val="000E3F2C"/>
    <w:rsid w:val="001C0737"/>
    <w:rsid w:val="001D6024"/>
    <w:rsid w:val="001D6C24"/>
    <w:rsid w:val="001E32DE"/>
    <w:rsid w:val="00217AFC"/>
    <w:rsid w:val="00221239"/>
    <w:rsid w:val="0027316E"/>
    <w:rsid w:val="00274479"/>
    <w:rsid w:val="002E7CA4"/>
    <w:rsid w:val="003230FC"/>
    <w:rsid w:val="003D701B"/>
    <w:rsid w:val="003E6FA1"/>
    <w:rsid w:val="003F247D"/>
    <w:rsid w:val="003F6378"/>
    <w:rsid w:val="003F73C3"/>
    <w:rsid w:val="00403970"/>
    <w:rsid w:val="0047626E"/>
    <w:rsid w:val="0048030E"/>
    <w:rsid w:val="00522300"/>
    <w:rsid w:val="005260F4"/>
    <w:rsid w:val="00560E1E"/>
    <w:rsid w:val="0059156D"/>
    <w:rsid w:val="005E5892"/>
    <w:rsid w:val="00613D1B"/>
    <w:rsid w:val="00642780"/>
    <w:rsid w:val="0067023B"/>
    <w:rsid w:val="00684022"/>
    <w:rsid w:val="006976DF"/>
    <w:rsid w:val="006E30EE"/>
    <w:rsid w:val="007005D7"/>
    <w:rsid w:val="007E7BE2"/>
    <w:rsid w:val="007F0C8E"/>
    <w:rsid w:val="008420F7"/>
    <w:rsid w:val="008C4DCA"/>
    <w:rsid w:val="008D4742"/>
    <w:rsid w:val="008F7A03"/>
    <w:rsid w:val="00943124"/>
    <w:rsid w:val="00961A2D"/>
    <w:rsid w:val="009B2FB6"/>
    <w:rsid w:val="009C252D"/>
    <w:rsid w:val="00A34D98"/>
    <w:rsid w:val="00A56C28"/>
    <w:rsid w:val="00A67D07"/>
    <w:rsid w:val="00A922B7"/>
    <w:rsid w:val="00AB0697"/>
    <w:rsid w:val="00AB7839"/>
    <w:rsid w:val="00AD41BB"/>
    <w:rsid w:val="00AE42CC"/>
    <w:rsid w:val="00B3641B"/>
    <w:rsid w:val="00BB075A"/>
    <w:rsid w:val="00BB1CEB"/>
    <w:rsid w:val="00C16187"/>
    <w:rsid w:val="00C30C1F"/>
    <w:rsid w:val="00C84051"/>
    <w:rsid w:val="00C97956"/>
    <w:rsid w:val="00D76FEA"/>
    <w:rsid w:val="00D82C57"/>
    <w:rsid w:val="00D86D72"/>
    <w:rsid w:val="00DA683C"/>
    <w:rsid w:val="00DC11AD"/>
    <w:rsid w:val="00DC5407"/>
    <w:rsid w:val="00DE3199"/>
    <w:rsid w:val="00E24812"/>
    <w:rsid w:val="00E40DC2"/>
    <w:rsid w:val="00E45FE9"/>
    <w:rsid w:val="00F11AB4"/>
    <w:rsid w:val="00F4038D"/>
    <w:rsid w:val="00F46C43"/>
    <w:rsid w:val="00F844D5"/>
    <w:rsid w:val="00F906F8"/>
    <w:rsid w:val="00F94FAE"/>
    <w:rsid w:val="00F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9D6"/>
  <w15:docId w15:val="{2D710691-FB7F-4FF6-8419-00439721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01D"/>
    <w:pPr>
      <w:spacing w:after="160" w:line="259" w:lineRule="auto"/>
    </w:pPr>
  </w:style>
  <w:style w:type="paragraph" w:styleId="berschrift3">
    <w:name w:val="heading 3"/>
    <w:basedOn w:val="Standard"/>
    <w:uiPriority w:val="9"/>
    <w:qFormat/>
    <w:rsid w:val="00C2235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uiPriority w:val="9"/>
    <w:qFormat/>
    <w:rsid w:val="00C223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C2235C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47A6F"/>
  </w:style>
  <w:style w:type="character" w:customStyle="1" w:styleId="FuzeileZchn">
    <w:name w:val="Fußzeile Zchn"/>
    <w:basedOn w:val="Absatz-Standardschriftart"/>
    <w:link w:val="Fuzeile"/>
    <w:uiPriority w:val="99"/>
    <w:qFormat/>
    <w:rsid w:val="00647A6F"/>
  </w:style>
  <w:style w:type="character" w:customStyle="1" w:styleId="Internetverknpfung">
    <w:name w:val="Internetverknüpfung"/>
    <w:basedOn w:val="Absatz-Standardschriftart"/>
    <w:uiPriority w:val="99"/>
    <w:unhideWhenUsed/>
    <w:rsid w:val="00AA07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A07BE"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8817F2"/>
    <w:rPr>
      <w:rFonts w:ascii="Arial" w:eastAsia="Times New Roman" w:hAnsi="Arial" w:cs="Times New Roman"/>
      <w:sz w:val="16"/>
      <w:szCs w:val="20"/>
      <w:lang w:eastAsia="ar-SA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semiHidden/>
    <w:unhideWhenUsed/>
    <w:qFormat/>
    <w:rsid w:val="008817F2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Homepage1">
    <w:name w:val="Homepage 1"/>
    <w:basedOn w:val="Standard"/>
    <w:qFormat/>
    <w:rsid w:val="003262E7"/>
    <w:pPr>
      <w:spacing w:after="0" w:line="240" w:lineRule="auto"/>
      <w:contextualSpacing/>
      <w:jc w:val="both"/>
    </w:pPr>
    <w:rPr>
      <w:rFonts w:ascii="Calibri" w:eastAsiaTheme="minorEastAsia" w:hAnsi="Calibri" w:cs="Calibri"/>
      <w:color w:val="595959" w:themeColor="text1" w:themeTint="A6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F00E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647A6F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47A6F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99"/>
    <w:qFormat/>
    <w:rsid w:val="001C18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817F2"/>
    <w:pPr>
      <w:tabs>
        <w:tab w:val="left" w:pos="800"/>
      </w:tabs>
      <w:spacing w:after="0" w:line="280" w:lineRule="exact"/>
      <w:jc w:val="both"/>
    </w:pPr>
    <w:rPr>
      <w:rFonts w:ascii="Arial" w:eastAsia="Times New Roman" w:hAnsi="Arial" w:cs="Times New Roman"/>
      <w:sz w:val="16"/>
      <w:szCs w:val="20"/>
      <w:lang w:eastAsia="ar-SA"/>
    </w:rPr>
  </w:style>
  <w:style w:type="table" w:styleId="Tabellenraster">
    <w:name w:val="Table Grid"/>
    <w:basedOn w:val="NormaleTabelle"/>
    <w:uiPriority w:val="39"/>
    <w:rsid w:val="00954CD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001B81"/>
    <w:pPr>
      <w:suppressAutoHyphens w:val="0"/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01B81"/>
    <w:rPr>
      <w:rFonts w:ascii="Calibri" w:hAnsi="Calibri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3F637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1A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eindeland.at/wp-content/uploads/2021/12/2009-Siegl-Die-Entstehung-der-Agrargemeinschaften-in-Tirol-1.pdf" TargetMode="External"/><Relationship Id="rId13" Type="http://schemas.openxmlformats.org/officeDocument/2006/relationships/hyperlink" Target="https://www.gemeindeland.at/wp-content/uploads/2021/12/2009-Siegl-Die-Entstehung-der-Agrargemeinschaften-in-Tiro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meindeland.at/wp-content/uploads/2021/12/1986-Morscher-Gutachten-Rechtsnachfolge-Fraktionseigentum-vom-23.05.198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meindeland.at/wp-content/uploads/2021/12/1982-Auszug-aus-E.-des-VfGH-vom-1.3.1982-Slg-9336-1982-zum-Gemeindebegriff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a-brugger.at/gemeindegut/vfgh_9336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-brugger.at/gemeindegut/vfgh_9336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8FFD-D5BD-4BE1-94BB-1CDA6A98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Lux</dc:creator>
  <dc:description/>
  <cp:lastModifiedBy>Puzik, Verena</cp:lastModifiedBy>
  <cp:revision>95</cp:revision>
  <cp:lastPrinted>2020-06-15T07:13:00Z</cp:lastPrinted>
  <dcterms:created xsi:type="dcterms:W3CDTF">2020-06-07T13:31:00Z</dcterms:created>
  <dcterms:modified xsi:type="dcterms:W3CDTF">2021-12-16T14:24:00Z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