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D89E" w14:textId="6E3CF5A1" w:rsidR="004D69BE" w:rsidRPr="004711AB" w:rsidRDefault="00623352" w:rsidP="00035985">
      <w:pPr>
        <w:pStyle w:val="berschrift3"/>
        <w:spacing w:before="100" w:after="0" w:afterAutospacing="0"/>
        <w:jc w:val="center"/>
        <w:rPr>
          <w:rFonts w:asciiTheme="minorHAnsi" w:hAnsiTheme="minorHAnsi" w:cstheme="minorHAnsi"/>
          <w:color w:val="C00000"/>
          <w:sz w:val="32"/>
          <w:szCs w:val="32"/>
        </w:rPr>
      </w:pPr>
      <w:bookmarkStart w:id="0" w:name="_Hlk60935628"/>
      <w:r w:rsidRPr="004711AB">
        <w:rPr>
          <w:rFonts w:asciiTheme="minorHAnsi" w:hAnsiTheme="minorHAnsi" w:cstheme="minorHAnsi"/>
          <w:color w:val="C00000"/>
          <w:sz w:val="32"/>
          <w:szCs w:val="32"/>
        </w:rPr>
        <w:t xml:space="preserve">Die </w:t>
      </w:r>
      <w:r w:rsidR="00E21395" w:rsidRPr="004711AB">
        <w:rPr>
          <w:rFonts w:asciiTheme="minorHAnsi" w:hAnsiTheme="minorHAnsi" w:cstheme="minorHAnsi"/>
          <w:color w:val="C00000"/>
          <w:sz w:val="32"/>
          <w:szCs w:val="32"/>
        </w:rPr>
        <w:t>Bewirtschaftungskosten</w:t>
      </w:r>
    </w:p>
    <w:p w14:paraId="468DEB48" w14:textId="533FFFF5" w:rsidR="00FB4953" w:rsidRPr="004711AB" w:rsidRDefault="00317589" w:rsidP="001D1F8F">
      <w:pPr>
        <w:pStyle w:val="berschrift3"/>
        <w:spacing w:beforeAutospacing="0" w:after="240" w:afterAutospacing="0" w:line="276" w:lineRule="auto"/>
        <w:jc w:val="center"/>
        <w:rPr>
          <w:rFonts w:asciiTheme="minorHAnsi" w:hAnsiTheme="minorHAnsi" w:cstheme="minorHAnsi"/>
          <w:color w:val="C00000"/>
          <w:sz w:val="32"/>
          <w:szCs w:val="32"/>
        </w:rPr>
      </w:pPr>
      <w:r w:rsidRPr="004711AB">
        <w:rPr>
          <w:rFonts w:asciiTheme="minorHAnsi" w:hAnsiTheme="minorHAnsi" w:cstheme="minorHAnsi"/>
          <w:color w:val="C00000"/>
          <w:sz w:val="32"/>
          <w:szCs w:val="32"/>
        </w:rPr>
        <w:t xml:space="preserve">(§ 36h TFLG 1996 idF </w:t>
      </w:r>
      <w:r w:rsidR="00AD7547" w:rsidRPr="004711AB">
        <w:rPr>
          <w:rFonts w:asciiTheme="minorHAnsi" w:hAnsiTheme="minorHAnsi" w:cstheme="minorHAnsi"/>
          <w:color w:val="C00000"/>
          <w:sz w:val="32"/>
          <w:szCs w:val="32"/>
        </w:rPr>
        <w:t xml:space="preserve">der TFLG-Novelle 2014, </w:t>
      </w:r>
      <w:r w:rsidRPr="004711AB">
        <w:rPr>
          <w:rFonts w:asciiTheme="minorHAnsi" w:hAnsiTheme="minorHAnsi" w:cstheme="minorHAnsi"/>
          <w:color w:val="C00000"/>
          <w:sz w:val="32"/>
          <w:szCs w:val="32"/>
        </w:rPr>
        <w:t>LGBl 70/2014)</w:t>
      </w:r>
    </w:p>
    <w:p w14:paraId="4F58CC24" w14:textId="77777777" w:rsidR="00605486" w:rsidRDefault="00605486" w:rsidP="00605486">
      <w:pPr>
        <w:pStyle w:val="Listenabsatz"/>
        <w:spacing w:before="100" w:beforeAutospacing="1" w:after="100" w:afterAutospacing="1" w:line="276" w:lineRule="auto"/>
        <w:ind w:left="360"/>
        <w:rPr>
          <w:rFonts w:eastAsia="Times New Roman" w:cstheme="minorHAnsi"/>
          <w:sz w:val="24"/>
          <w:szCs w:val="24"/>
        </w:rPr>
      </w:pPr>
    </w:p>
    <w:p w14:paraId="5B16ADE5" w14:textId="33A801C6" w:rsidR="0038159C" w:rsidRPr="004711AB" w:rsidRDefault="00FB4953" w:rsidP="00605486">
      <w:pPr>
        <w:pStyle w:val="Listenabsatz"/>
        <w:numPr>
          <w:ilvl w:val="0"/>
          <w:numId w:val="12"/>
        </w:numPr>
        <w:spacing w:before="100" w:beforeAutospacing="1" w:after="120" w:line="276" w:lineRule="auto"/>
        <w:ind w:left="357"/>
        <w:contextualSpacing w:val="0"/>
        <w:rPr>
          <w:rFonts w:eastAsia="Times New Roman" w:cstheme="minorHAnsi"/>
        </w:rPr>
      </w:pPr>
      <w:r w:rsidRPr="004711AB">
        <w:rPr>
          <w:rFonts w:eastAsia="Times New Roman" w:cstheme="minorHAnsi"/>
        </w:rPr>
        <w:t xml:space="preserve">Voranzustellen ist, dass gemäß § 69 Abs 1 TGO das Gemeindevermögen, zu </w:t>
      </w:r>
      <w:r w:rsidR="0038159C" w:rsidRPr="004711AB">
        <w:rPr>
          <w:rFonts w:eastAsia="Times New Roman" w:cstheme="minorHAnsi"/>
        </w:rPr>
        <w:t>dem gemäß § </w:t>
      </w:r>
      <w:r w:rsidRPr="004711AB">
        <w:rPr>
          <w:rFonts w:eastAsia="Times New Roman" w:cstheme="minorHAnsi"/>
        </w:rPr>
        <w:t xml:space="preserve">68 TGO auch das Gemeindegut zählt, sorgsam zu verwalten und zu erhalten ist. </w:t>
      </w:r>
    </w:p>
    <w:p w14:paraId="446EBB8A" w14:textId="451984FC" w:rsidR="0038159C" w:rsidRPr="004711AB" w:rsidRDefault="00FB4953" w:rsidP="00605486">
      <w:pPr>
        <w:pStyle w:val="Listenabsatz"/>
        <w:numPr>
          <w:ilvl w:val="0"/>
          <w:numId w:val="12"/>
        </w:numPr>
        <w:spacing w:before="100" w:beforeAutospacing="1" w:after="120" w:line="276" w:lineRule="auto"/>
        <w:ind w:left="357"/>
        <w:contextualSpacing w:val="0"/>
        <w:rPr>
          <w:rFonts w:eastAsia="Times New Roman" w:cstheme="minorHAnsi"/>
        </w:rPr>
      </w:pPr>
      <w:r w:rsidRPr="004711AB">
        <w:rPr>
          <w:rFonts w:eastAsia="Times New Roman" w:cstheme="minorHAnsi"/>
        </w:rPr>
        <w:t>Gemäß § 70 Abs 2 erster Satz TGO darf die Nutzung des Gemeindeguts den Haus- und Guts</w:t>
      </w:r>
      <w:r w:rsidR="00474C42">
        <w:rPr>
          <w:rFonts w:eastAsia="Times New Roman" w:cstheme="minorHAnsi"/>
        </w:rPr>
        <w:softHyphen/>
      </w:r>
      <w:r w:rsidRPr="004711AB">
        <w:rPr>
          <w:rFonts w:eastAsia="Times New Roman" w:cstheme="minorHAnsi"/>
        </w:rPr>
        <w:t xml:space="preserve">bedarf nicht übersteigen. Diese Bestimmungen zählen seit mehr </w:t>
      </w:r>
      <w:r w:rsidR="0038159C" w:rsidRPr="004711AB">
        <w:rPr>
          <w:rFonts w:eastAsia="Times New Roman" w:cstheme="minorHAnsi"/>
        </w:rPr>
        <w:t>als 15</w:t>
      </w:r>
      <w:r w:rsidRPr="004711AB">
        <w:rPr>
          <w:rFonts w:eastAsia="Times New Roman" w:cstheme="minorHAnsi"/>
        </w:rPr>
        <w:t>0 Jahren zum Rechts</w:t>
      </w:r>
      <w:r w:rsidR="00474C42">
        <w:rPr>
          <w:rFonts w:eastAsia="Times New Roman" w:cstheme="minorHAnsi"/>
        </w:rPr>
        <w:softHyphen/>
      </w:r>
      <w:r w:rsidRPr="004711AB">
        <w:rPr>
          <w:rFonts w:eastAsia="Times New Roman" w:cstheme="minorHAnsi"/>
        </w:rPr>
        <w:t>bestand der Gemeindeordnung.</w:t>
      </w:r>
    </w:p>
    <w:p w14:paraId="0B1D0A17" w14:textId="11A2C7A7" w:rsidR="001D1F8F" w:rsidRPr="004711AB" w:rsidRDefault="00E21395" w:rsidP="00605486">
      <w:pPr>
        <w:pStyle w:val="Listenabsatz"/>
        <w:numPr>
          <w:ilvl w:val="0"/>
          <w:numId w:val="12"/>
        </w:numPr>
        <w:spacing w:before="100" w:beforeAutospacing="1" w:after="120" w:line="276" w:lineRule="auto"/>
        <w:ind w:left="357"/>
        <w:contextualSpacing w:val="0"/>
        <w:rPr>
          <w:rFonts w:eastAsia="Times New Roman" w:cstheme="minorHAnsi"/>
        </w:rPr>
      </w:pPr>
      <w:r w:rsidRPr="004711AB">
        <w:rPr>
          <w:rFonts w:cstheme="minorHAnsi"/>
          <w:lang w:val="de-DE"/>
        </w:rPr>
        <w:t>§ 72 der Tiroler Gemeindeordnung (TGO), welche Bestimmung den Titel „Umlegung der Lasten des Gemeindegutes“ trägt, sieht vor, dass der Gemeinderat durch Verordnung die auf dem Gemeindegut lastenden Abgaben und Betriebskosten auf die berechtigten Lie</w:t>
      </w:r>
      <w:r w:rsidR="00605486" w:rsidRPr="004711AB">
        <w:rPr>
          <w:rFonts w:cstheme="minorHAnsi"/>
          <w:lang w:val="de-DE"/>
        </w:rPr>
        <w:softHyphen/>
      </w:r>
      <w:r w:rsidRPr="004711AB">
        <w:rPr>
          <w:rFonts w:cstheme="minorHAnsi"/>
          <w:lang w:val="de-DE"/>
        </w:rPr>
        <w:t>genschafte</w:t>
      </w:r>
      <w:r w:rsidR="004D69BE" w:rsidRPr="004711AB">
        <w:rPr>
          <w:rFonts w:cstheme="minorHAnsi"/>
          <w:lang w:val="de-DE"/>
        </w:rPr>
        <w:t>n nach sachlichen Merkmalen um</w:t>
      </w:r>
      <w:r w:rsidRPr="004711AB">
        <w:rPr>
          <w:rFonts w:cstheme="minorHAnsi"/>
          <w:lang w:val="de-DE"/>
        </w:rPr>
        <w:t>zusetzen hat. Der Bürgermeister hat den einzelnen Nutzungs</w:t>
      </w:r>
      <w:r w:rsidR="00474C42">
        <w:rPr>
          <w:rFonts w:cstheme="minorHAnsi"/>
          <w:lang w:val="de-DE"/>
        </w:rPr>
        <w:softHyphen/>
      </w:r>
      <w:r w:rsidRPr="004711AB">
        <w:rPr>
          <w:rFonts w:cstheme="minorHAnsi"/>
          <w:lang w:val="de-DE"/>
        </w:rPr>
        <w:t>berech</w:t>
      </w:r>
      <w:r w:rsidR="00474C42">
        <w:rPr>
          <w:rFonts w:cstheme="minorHAnsi"/>
          <w:lang w:val="de-DE"/>
        </w:rPr>
        <w:softHyphen/>
      </w:r>
      <w:r w:rsidRPr="004711AB">
        <w:rPr>
          <w:rFonts w:cstheme="minorHAnsi"/>
          <w:lang w:val="de-DE"/>
        </w:rPr>
        <w:t xml:space="preserve">tigten </w:t>
      </w:r>
      <w:r w:rsidR="004D69BE" w:rsidRPr="004711AB">
        <w:rPr>
          <w:rFonts w:cstheme="minorHAnsi"/>
          <w:lang w:val="de-DE"/>
        </w:rPr>
        <w:t xml:space="preserve">sodann </w:t>
      </w:r>
      <w:r w:rsidRPr="004711AB">
        <w:rPr>
          <w:rFonts w:cstheme="minorHAnsi"/>
          <w:lang w:val="de-DE"/>
        </w:rPr>
        <w:t xml:space="preserve">den entsprechenden Betrag in Rechnung zu stellen. </w:t>
      </w:r>
    </w:p>
    <w:p w14:paraId="5E9CAC80" w14:textId="320A5E1A" w:rsidR="001D1F8F" w:rsidRPr="004711AB" w:rsidRDefault="001D1F8F" w:rsidP="004711AB">
      <w:pPr>
        <w:spacing w:before="100" w:beforeAutospacing="1" w:after="120" w:line="276" w:lineRule="auto"/>
        <w:ind w:left="-3"/>
        <w:rPr>
          <w:rFonts w:eastAsia="Times New Roman" w:cstheme="minorHAnsi"/>
          <w:b/>
          <w:bCs/>
        </w:rPr>
      </w:pPr>
      <w:r w:rsidRPr="004711AB">
        <w:rPr>
          <w:rFonts w:cstheme="minorHAnsi"/>
          <w:b/>
          <w:bCs/>
          <w:lang w:val="de-DE"/>
        </w:rPr>
        <w:t>Diese</w:t>
      </w:r>
      <w:r w:rsidR="00E21395" w:rsidRPr="004711AB">
        <w:rPr>
          <w:rFonts w:cstheme="minorHAnsi"/>
          <w:b/>
          <w:bCs/>
          <w:lang w:val="de-DE"/>
        </w:rPr>
        <w:t xml:space="preserve"> Regelung </w:t>
      </w:r>
      <w:r w:rsidRPr="004711AB">
        <w:rPr>
          <w:rFonts w:cstheme="minorHAnsi"/>
          <w:b/>
          <w:bCs/>
          <w:lang w:val="de-DE"/>
        </w:rPr>
        <w:t>schließt</w:t>
      </w:r>
      <w:r w:rsidR="00E21395" w:rsidRPr="004711AB">
        <w:rPr>
          <w:rFonts w:cstheme="minorHAnsi"/>
          <w:b/>
          <w:bCs/>
          <w:lang w:val="de-DE"/>
        </w:rPr>
        <w:t xml:space="preserve"> </w:t>
      </w:r>
      <w:r w:rsidRPr="004711AB">
        <w:rPr>
          <w:rFonts w:cstheme="minorHAnsi"/>
          <w:b/>
          <w:bCs/>
          <w:lang w:val="de-DE"/>
        </w:rPr>
        <w:t xml:space="preserve">somit </w:t>
      </w:r>
      <w:r w:rsidR="00E21395" w:rsidRPr="004711AB">
        <w:rPr>
          <w:rFonts w:cstheme="minorHAnsi"/>
          <w:b/>
          <w:bCs/>
          <w:lang w:val="de-DE"/>
        </w:rPr>
        <w:t>eine Verpflichtung der Gemeinde, die zur Erzielung der land- und forstwirtschaftlichen Nutzungen erforderlichen Aufwendungen aus dem Substanzertrag zu finan</w:t>
      </w:r>
      <w:r w:rsidR="004711AB">
        <w:rPr>
          <w:rFonts w:cstheme="minorHAnsi"/>
          <w:b/>
          <w:bCs/>
          <w:lang w:val="de-DE"/>
        </w:rPr>
        <w:softHyphen/>
      </w:r>
      <w:r w:rsidR="00E21395" w:rsidRPr="004711AB">
        <w:rPr>
          <w:rFonts w:cstheme="minorHAnsi"/>
          <w:b/>
          <w:bCs/>
          <w:lang w:val="de-DE"/>
        </w:rPr>
        <w:t>zieren,</w:t>
      </w:r>
      <w:r w:rsidRPr="004711AB">
        <w:rPr>
          <w:rFonts w:cstheme="minorHAnsi"/>
          <w:b/>
          <w:bCs/>
          <w:lang w:val="de-DE"/>
        </w:rPr>
        <w:t xml:space="preserve"> dezidiert aus</w:t>
      </w:r>
      <w:r w:rsidR="00E21395" w:rsidRPr="004711AB">
        <w:rPr>
          <w:rFonts w:cstheme="minorHAnsi"/>
          <w:b/>
          <w:bCs/>
          <w:lang w:val="de-DE"/>
        </w:rPr>
        <w:t xml:space="preserve">. </w:t>
      </w:r>
    </w:p>
    <w:p w14:paraId="0611E5CB" w14:textId="3D577127" w:rsidR="001D1F8F" w:rsidRPr="004711AB" w:rsidRDefault="001D1F8F" w:rsidP="004711AB">
      <w:pPr>
        <w:spacing w:before="180" w:after="180" w:line="276" w:lineRule="auto"/>
        <w:jc w:val="both"/>
        <w:rPr>
          <w:rFonts w:cstheme="minorHAnsi"/>
          <w:b/>
          <w:bCs/>
          <w:sz w:val="24"/>
          <w:szCs w:val="24"/>
          <w:u w:val="single"/>
          <w:lang w:val="de-DE"/>
        </w:rPr>
      </w:pPr>
      <w:r w:rsidRPr="004711AB">
        <w:rPr>
          <w:rFonts w:cstheme="minorHAnsi"/>
          <w:b/>
          <w:bCs/>
          <w:sz w:val="24"/>
          <w:szCs w:val="24"/>
          <w:u w:val="single"/>
          <w:lang w:val="de-DE"/>
        </w:rPr>
        <w:t>Vereinbarungen zwischen Gemeinde und Agrargemeinschaften:</w:t>
      </w:r>
    </w:p>
    <w:p w14:paraId="41DA681B" w14:textId="47AF95DD" w:rsidR="001D1F8F" w:rsidRPr="004711AB" w:rsidRDefault="001D1F8F" w:rsidP="004711AB">
      <w:pPr>
        <w:spacing w:after="120" w:line="276" w:lineRule="auto"/>
        <w:jc w:val="both"/>
        <w:rPr>
          <w:rFonts w:cstheme="minorHAnsi"/>
          <w:lang w:val="de-DE"/>
        </w:rPr>
      </w:pPr>
      <w:r w:rsidRPr="004711AB">
        <w:rPr>
          <w:rFonts w:cstheme="minorHAnsi"/>
          <w:lang w:val="de-DE"/>
        </w:rPr>
        <w:t xml:space="preserve">Solche </w:t>
      </w:r>
      <w:r w:rsidR="00E21395" w:rsidRPr="004711AB">
        <w:rPr>
          <w:rFonts w:cstheme="minorHAnsi"/>
          <w:lang w:val="de-DE"/>
        </w:rPr>
        <w:t xml:space="preserve">wären nur zulässig, wenn </w:t>
      </w:r>
      <w:r w:rsidR="004D69BE" w:rsidRPr="004711AB">
        <w:rPr>
          <w:rFonts w:cstheme="minorHAnsi"/>
          <w:lang w:val="de-DE"/>
        </w:rPr>
        <w:t xml:space="preserve">damit </w:t>
      </w:r>
      <w:r w:rsidR="00E21395" w:rsidRPr="004711AB">
        <w:rPr>
          <w:rFonts w:cstheme="minorHAnsi"/>
          <w:lang w:val="de-DE"/>
        </w:rPr>
        <w:t>die Gemeinde und die durch sie repräsentierten übrigen Gemeindebürger nicht benachteiligt würden! Jede Benachteiligung der Gemeinde verstieße gegen den verfassungs</w:t>
      </w:r>
      <w:r w:rsidRPr="004711AB">
        <w:rPr>
          <w:rFonts w:cstheme="minorHAnsi"/>
          <w:lang w:val="de-DE"/>
        </w:rPr>
        <w:softHyphen/>
      </w:r>
      <w:r w:rsidR="00E21395" w:rsidRPr="004711AB">
        <w:rPr>
          <w:rFonts w:cstheme="minorHAnsi"/>
          <w:lang w:val="de-DE"/>
        </w:rPr>
        <w:t>rechtlichen Gleichheitsgrundsatz und gegen § 69 Abs 1 TGO</w:t>
      </w:r>
      <w:r w:rsidR="003907DB" w:rsidRPr="004711AB">
        <w:rPr>
          <w:rFonts w:cstheme="minorHAnsi"/>
          <w:lang w:val="de-DE"/>
        </w:rPr>
        <w:t xml:space="preserve"> (s.o.)</w:t>
      </w:r>
      <w:r w:rsidR="00E21395" w:rsidRPr="004711AB">
        <w:rPr>
          <w:rFonts w:cstheme="minorHAnsi"/>
          <w:lang w:val="de-DE"/>
        </w:rPr>
        <w:t>.</w:t>
      </w:r>
    </w:p>
    <w:p w14:paraId="7C7C8E24" w14:textId="4412A90B" w:rsidR="004711AB" w:rsidRDefault="001D1F8F" w:rsidP="004711AB">
      <w:pPr>
        <w:spacing w:before="180" w:after="180" w:line="276" w:lineRule="auto"/>
        <w:jc w:val="both"/>
        <w:rPr>
          <w:rFonts w:cstheme="minorHAnsi"/>
          <w:sz w:val="24"/>
          <w:szCs w:val="24"/>
          <w:lang w:val="de-DE"/>
        </w:rPr>
      </w:pPr>
      <w:r w:rsidRPr="004711AB">
        <w:rPr>
          <w:rFonts w:cstheme="minorHAnsi"/>
          <w:b/>
          <w:bCs/>
          <w:sz w:val="24"/>
          <w:szCs w:val="24"/>
          <w:u w:val="single"/>
          <w:lang w:val="de-DE"/>
        </w:rPr>
        <w:t>Pauschale „Bewirtschaftungskostenbeiträge</w:t>
      </w:r>
      <w:r w:rsidRPr="004711AB">
        <w:rPr>
          <w:rFonts w:cstheme="minorHAnsi"/>
          <w:b/>
          <w:bCs/>
          <w:sz w:val="24"/>
          <w:szCs w:val="24"/>
          <w:lang w:val="de-DE"/>
        </w:rPr>
        <w:t>“</w:t>
      </w:r>
    </w:p>
    <w:p w14:paraId="5682A377" w14:textId="0708ED19" w:rsidR="00DD116A" w:rsidRPr="004711AB" w:rsidRDefault="00E21395" w:rsidP="004711AB">
      <w:pPr>
        <w:spacing w:after="120" w:line="276" w:lineRule="auto"/>
        <w:jc w:val="both"/>
        <w:rPr>
          <w:rFonts w:cstheme="minorHAnsi"/>
          <w:sz w:val="24"/>
          <w:szCs w:val="24"/>
          <w:lang w:val="de-DE"/>
        </w:rPr>
      </w:pPr>
      <w:r w:rsidRPr="004711AB">
        <w:rPr>
          <w:rFonts w:cstheme="minorHAnsi"/>
          <w:lang w:val="de-DE"/>
        </w:rPr>
        <w:t xml:space="preserve">Abweichend von § 72 TGO hat </w:t>
      </w:r>
      <w:r w:rsidR="0038159C" w:rsidRPr="004711AB">
        <w:rPr>
          <w:rFonts w:cstheme="minorHAnsi"/>
          <w:lang w:val="de-DE"/>
        </w:rPr>
        <w:t xml:space="preserve">nun </w:t>
      </w:r>
      <w:r w:rsidRPr="004711AB">
        <w:rPr>
          <w:rFonts w:cstheme="minorHAnsi"/>
          <w:lang w:val="de-DE"/>
        </w:rPr>
        <w:t xml:space="preserve">der Tiroler Landtag </w:t>
      </w:r>
      <w:r w:rsidR="00FB4953" w:rsidRPr="004711AB">
        <w:rPr>
          <w:rFonts w:cstheme="minorHAnsi"/>
          <w:lang w:val="de-DE"/>
        </w:rPr>
        <w:t>mit</w:t>
      </w:r>
      <w:r w:rsidRPr="004711AB">
        <w:rPr>
          <w:rFonts w:cstheme="minorHAnsi"/>
          <w:lang w:val="de-DE"/>
        </w:rPr>
        <w:t xml:space="preserve"> der TFLG-Novelle 2014 durch die Einfügung der Bestimmung des § 36k</w:t>
      </w:r>
      <w:r w:rsidR="001D1F8F" w:rsidRPr="004711AB">
        <w:rPr>
          <w:rFonts w:cstheme="minorHAnsi"/>
          <w:lang w:val="de-DE"/>
        </w:rPr>
        <w:t xml:space="preserve"> TFLG</w:t>
      </w:r>
      <w:r w:rsidRPr="004711AB">
        <w:rPr>
          <w:rFonts w:cstheme="minorHAnsi"/>
          <w:lang w:val="de-DE"/>
        </w:rPr>
        <w:t xml:space="preserve"> die Landesregierung </w:t>
      </w:r>
      <w:r w:rsidR="00FB4953" w:rsidRPr="004711AB">
        <w:rPr>
          <w:rFonts w:cstheme="minorHAnsi"/>
          <w:lang w:val="de-DE"/>
        </w:rPr>
        <w:t>(</w:t>
      </w:r>
      <w:r w:rsidRPr="004711AB">
        <w:rPr>
          <w:rFonts w:cstheme="minorHAnsi"/>
          <w:lang w:val="de-DE"/>
        </w:rPr>
        <w:t>erstmals</w:t>
      </w:r>
      <w:r w:rsidR="00FB4953" w:rsidRPr="004711AB">
        <w:rPr>
          <w:rFonts w:cstheme="minorHAnsi"/>
          <w:lang w:val="de-DE"/>
        </w:rPr>
        <w:t>)</w:t>
      </w:r>
      <w:r w:rsidRPr="004711AB">
        <w:rPr>
          <w:rFonts w:cstheme="minorHAnsi"/>
          <w:lang w:val="de-DE"/>
        </w:rPr>
        <w:t xml:space="preserve"> ermächtigt, im </w:t>
      </w:r>
      <w:r w:rsidRPr="004711AB">
        <w:rPr>
          <w:rFonts w:cstheme="minorHAnsi"/>
          <w:b/>
          <w:bCs/>
          <w:lang w:val="de-DE"/>
        </w:rPr>
        <w:t xml:space="preserve">Verordnungswege </w:t>
      </w:r>
      <w:r w:rsidR="003907DB" w:rsidRPr="004711AB">
        <w:rPr>
          <w:rFonts w:cstheme="minorHAnsi"/>
          <w:b/>
          <w:bCs/>
          <w:lang w:val="de-DE"/>
        </w:rPr>
        <w:t xml:space="preserve">für Nutzungsberechtigte </w:t>
      </w:r>
      <w:r w:rsidRPr="004711AB">
        <w:rPr>
          <w:rFonts w:cstheme="minorHAnsi"/>
          <w:b/>
          <w:bCs/>
          <w:lang w:val="de-DE"/>
        </w:rPr>
        <w:t>pauschale „Bewirtschaftungskostenbeiträge“</w:t>
      </w:r>
      <w:r w:rsidRPr="004711AB">
        <w:rPr>
          <w:rFonts w:cstheme="minorHAnsi"/>
          <w:lang w:val="de-DE"/>
        </w:rPr>
        <w:t xml:space="preserve"> festzulegen, auf die die Gemeinde in ihrer Forderung auf einen Kostenbeitrag der Nutzungsberechtigten zu den ihr entstandenen Bewirtschaftungskosten des Gemeindegutes (Wälder, Almen) </w:t>
      </w:r>
      <w:r w:rsidR="001D1F8F" w:rsidRPr="004711AB">
        <w:rPr>
          <w:rFonts w:cstheme="minorHAnsi"/>
          <w:lang w:val="de-DE"/>
        </w:rPr>
        <w:t xml:space="preserve">defacto </w:t>
      </w:r>
      <w:r w:rsidRPr="004711AB">
        <w:rPr>
          <w:rFonts w:cstheme="minorHAnsi"/>
          <w:lang w:val="de-DE"/>
        </w:rPr>
        <w:t xml:space="preserve">beschränkt </w:t>
      </w:r>
      <w:r w:rsidR="0038159C" w:rsidRPr="004711AB">
        <w:rPr>
          <w:rFonts w:cstheme="minorHAnsi"/>
          <w:lang w:val="de-DE"/>
        </w:rPr>
        <w:t>wird</w:t>
      </w:r>
      <w:r w:rsidRPr="004711AB">
        <w:rPr>
          <w:rFonts w:cstheme="minorHAnsi"/>
          <w:lang w:val="de-DE"/>
        </w:rPr>
        <w:t xml:space="preserve">. </w:t>
      </w:r>
    </w:p>
    <w:p w14:paraId="4247643F" w14:textId="77777777" w:rsidR="004711AB" w:rsidRDefault="00E21395" w:rsidP="004711AB">
      <w:pPr>
        <w:spacing w:after="120" w:line="276" w:lineRule="auto"/>
        <w:rPr>
          <w:rFonts w:cstheme="minorHAnsi"/>
          <w:lang w:val="de-DE"/>
        </w:rPr>
      </w:pPr>
      <w:r w:rsidRPr="004711AB">
        <w:rPr>
          <w:rFonts w:cstheme="minorHAnsi"/>
          <w:lang w:val="de-DE"/>
        </w:rPr>
        <w:t>D</w:t>
      </w:r>
      <w:r w:rsidR="005B3807" w:rsidRPr="004711AB">
        <w:rPr>
          <w:rFonts w:cstheme="minorHAnsi"/>
          <w:lang w:val="de-DE"/>
        </w:rPr>
        <w:t xml:space="preserve">ie in </w:t>
      </w:r>
      <w:r w:rsidR="00DD116A" w:rsidRPr="004711AB">
        <w:rPr>
          <w:rFonts w:cstheme="minorHAnsi"/>
          <w:lang w:val="de-DE"/>
        </w:rPr>
        <w:t xml:space="preserve">den </w:t>
      </w:r>
      <w:r w:rsidR="005B3807" w:rsidRPr="004711AB">
        <w:rPr>
          <w:rFonts w:cstheme="minorHAnsi"/>
          <w:lang w:val="de-DE"/>
        </w:rPr>
        <w:t>von der Tiroler Landesregierung 2017 und 2020 erlassenen Verordnungen</w:t>
      </w:r>
      <w:r w:rsidRPr="004711AB">
        <w:rPr>
          <w:rFonts w:cstheme="minorHAnsi"/>
          <w:lang w:val="de-DE"/>
        </w:rPr>
        <w:t xml:space="preserve"> </w:t>
      </w:r>
      <w:r w:rsidR="00DD116A" w:rsidRPr="004711AB">
        <w:rPr>
          <w:rFonts w:cstheme="minorHAnsi"/>
          <w:lang w:val="de-DE"/>
        </w:rPr>
        <w:t xml:space="preserve">festgesetzten Pauschalsätze) </w:t>
      </w:r>
      <w:r w:rsidRPr="004711AB">
        <w:rPr>
          <w:rFonts w:cstheme="minorHAnsi"/>
          <w:b/>
          <w:bCs/>
          <w:lang w:val="de-DE"/>
        </w:rPr>
        <w:t>decken die tatsächlichen Bewirt</w:t>
      </w:r>
      <w:r w:rsidRPr="004711AB">
        <w:rPr>
          <w:rFonts w:cstheme="minorHAnsi"/>
          <w:b/>
          <w:bCs/>
          <w:lang w:val="de-DE"/>
        </w:rPr>
        <w:softHyphen/>
        <w:t xml:space="preserve">schaftungskosten </w:t>
      </w:r>
      <w:r w:rsidR="005B3807" w:rsidRPr="004711AB">
        <w:rPr>
          <w:rFonts w:cstheme="minorHAnsi"/>
          <w:b/>
          <w:bCs/>
          <w:lang w:val="de-DE"/>
        </w:rPr>
        <w:t xml:space="preserve">jedoch </w:t>
      </w:r>
      <w:r w:rsidRPr="004711AB">
        <w:rPr>
          <w:rFonts w:cstheme="minorHAnsi"/>
          <w:b/>
          <w:bCs/>
          <w:lang w:val="de-DE"/>
        </w:rPr>
        <w:t>bei weitem nicht ab</w:t>
      </w:r>
      <w:r w:rsidRPr="004711AB">
        <w:rPr>
          <w:rFonts w:cstheme="minorHAnsi"/>
          <w:lang w:val="de-DE"/>
        </w:rPr>
        <w:t>.</w:t>
      </w:r>
    </w:p>
    <w:p w14:paraId="112B3E71" w14:textId="0EDA3C9A" w:rsidR="00DD116A" w:rsidRPr="004711AB" w:rsidRDefault="00E21395" w:rsidP="004711AB">
      <w:pPr>
        <w:spacing w:after="0" w:line="276" w:lineRule="auto"/>
        <w:rPr>
          <w:rFonts w:cstheme="minorHAnsi"/>
          <w:lang w:val="de-DE"/>
        </w:rPr>
      </w:pPr>
      <w:r w:rsidRPr="004711AB">
        <w:t>Daraus ergibt sich eine neue, betragsmäßig keineswegs unwesentliche Belastung für die Gemeinden, weil die tatsächlichen Bewirtschaftungskosten des jeweiligen Gemeindegutes umgelegt auf Fest</w:t>
      </w:r>
      <w:r w:rsidR="00474C42">
        <w:softHyphen/>
      </w:r>
      <w:r w:rsidRPr="004711AB">
        <w:t xml:space="preserve">meter </w:t>
      </w:r>
      <w:r w:rsidR="00DD116A" w:rsidRPr="004711AB">
        <w:t xml:space="preserve">Holz </w:t>
      </w:r>
      <w:r w:rsidRPr="004711AB">
        <w:t xml:space="preserve">oder </w:t>
      </w:r>
      <w:r w:rsidR="00DD116A" w:rsidRPr="004711AB">
        <w:t>gealptes</w:t>
      </w:r>
      <w:r w:rsidRPr="004711AB">
        <w:t xml:space="preserve"> Stück Vieh um ein Vielfaches höher sind als die in der Verordnung fest</w:t>
      </w:r>
      <w:r w:rsidR="00474C42">
        <w:softHyphen/>
      </w:r>
      <w:r w:rsidRPr="004711AB">
        <w:t xml:space="preserve">gelegten </w:t>
      </w:r>
      <w:r w:rsidR="00317589" w:rsidRPr="004711AB">
        <w:t>Kostensätze</w:t>
      </w:r>
      <w:r w:rsidRPr="004711AB">
        <w:t xml:space="preserve">. </w:t>
      </w:r>
    </w:p>
    <w:p w14:paraId="5E63F721" w14:textId="785CE435" w:rsidR="008D1B82" w:rsidRPr="004711AB" w:rsidRDefault="008D1B82" w:rsidP="004711AB">
      <w:pPr>
        <w:spacing w:before="180" w:after="180" w:line="276" w:lineRule="auto"/>
        <w:jc w:val="both"/>
        <w:rPr>
          <w:rFonts w:cstheme="minorHAnsi"/>
          <w:b/>
          <w:bCs/>
          <w:sz w:val="24"/>
          <w:szCs w:val="24"/>
          <w:u w:val="single"/>
          <w:lang w:val="de-DE"/>
        </w:rPr>
      </w:pPr>
      <w:r w:rsidRPr="004711AB">
        <w:rPr>
          <w:rFonts w:cstheme="minorHAnsi"/>
          <w:b/>
          <w:bCs/>
          <w:sz w:val="24"/>
          <w:szCs w:val="24"/>
          <w:u w:val="single"/>
          <w:lang w:val="de-DE"/>
        </w:rPr>
        <w:t>Resümee:</w:t>
      </w:r>
    </w:p>
    <w:p w14:paraId="16ADCBC5" w14:textId="6E59043A" w:rsidR="00E21395" w:rsidRPr="004711AB" w:rsidRDefault="00E21395" w:rsidP="004711AB">
      <w:pPr>
        <w:spacing w:after="120" w:line="276" w:lineRule="auto"/>
        <w:rPr>
          <w:rFonts w:eastAsia="Times New Roman" w:cstheme="minorHAnsi"/>
          <w:b/>
          <w:bCs/>
          <w:i/>
          <w:iCs/>
          <w:color w:val="2E74B5" w:themeColor="accent5" w:themeShade="BF"/>
        </w:rPr>
      </w:pPr>
      <w:r w:rsidRPr="004711AB">
        <w:t>Die die Gesamtheit ihrer Bürger repräsentierenden</w:t>
      </w:r>
      <w:r w:rsidRPr="004711AB">
        <w:rPr>
          <w:rFonts w:eastAsia="Times New Roman" w:cstheme="minorHAnsi"/>
        </w:rPr>
        <w:t xml:space="preserve"> Gemeinden </w:t>
      </w:r>
      <w:r w:rsidR="008D1B82" w:rsidRPr="004711AB">
        <w:rPr>
          <w:rFonts w:eastAsia="Times New Roman" w:cstheme="minorHAnsi"/>
        </w:rPr>
        <w:t>müssen</w:t>
      </w:r>
      <w:r w:rsidRPr="004711AB">
        <w:rPr>
          <w:rFonts w:eastAsia="Times New Roman" w:cstheme="minorHAnsi"/>
        </w:rPr>
        <w:t xml:space="preserve"> </w:t>
      </w:r>
      <w:r w:rsidR="005B3807" w:rsidRPr="004711AB">
        <w:t>somit</w:t>
      </w:r>
      <w:r w:rsidRPr="004711AB">
        <w:t xml:space="preserve"> seit </w:t>
      </w:r>
      <w:r w:rsidR="00661FC2">
        <w:t xml:space="preserve">dem Inkrafttreten </w:t>
      </w:r>
      <w:r w:rsidRPr="004711AB">
        <w:t xml:space="preserve">der TFLG Novelle 2014 </w:t>
      </w:r>
      <w:r w:rsidR="005B3807" w:rsidRPr="004711AB">
        <w:t>entgegen der im 4. Hauptstück der TGO (§ 68 ff) enthal</w:t>
      </w:r>
      <w:r w:rsidR="00DD116A" w:rsidRPr="004711AB">
        <w:t>t</w:t>
      </w:r>
      <w:r w:rsidR="005B3807" w:rsidRPr="004711AB">
        <w:t xml:space="preserve">enen Bestimmungen </w:t>
      </w:r>
      <w:r w:rsidR="00317589" w:rsidRPr="004711AB">
        <w:rPr>
          <w:rFonts w:eastAsia="Times New Roman" w:cstheme="minorHAnsi"/>
        </w:rPr>
        <w:t>einen großen Teil</w:t>
      </w:r>
      <w:r w:rsidRPr="004711AB">
        <w:rPr>
          <w:rFonts w:eastAsia="Times New Roman" w:cstheme="minorHAnsi"/>
        </w:rPr>
        <w:t xml:space="preserve"> de</w:t>
      </w:r>
      <w:r w:rsidR="00DD116A" w:rsidRPr="004711AB">
        <w:rPr>
          <w:rFonts w:eastAsia="Times New Roman" w:cstheme="minorHAnsi"/>
        </w:rPr>
        <w:t>r Kosten der Bewirtschaftung des Gemeindeguts</w:t>
      </w:r>
      <w:r w:rsidRPr="004711AB">
        <w:rPr>
          <w:rFonts w:eastAsia="Times New Roman" w:cstheme="minorHAnsi"/>
        </w:rPr>
        <w:t xml:space="preserve"> </w:t>
      </w:r>
      <w:r w:rsidR="00DD116A" w:rsidRPr="004711AB">
        <w:rPr>
          <w:rFonts w:eastAsia="Times New Roman" w:cstheme="minorHAnsi"/>
        </w:rPr>
        <w:t>(</w:t>
      </w:r>
      <w:r w:rsidRPr="004711AB">
        <w:rPr>
          <w:rFonts w:eastAsia="Times New Roman" w:cstheme="minorHAnsi"/>
        </w:rPr>
        <w:t>Gemeindewälder und Gemein</w:t>
      </w:r>
      <w:r w:rsidR="003907DB" w:rsidRPr="004711AB">
        <w:rPr>
          <w:rFonts w:eastAsia="Times New Roman" w:cstheme="minorHAnsi"/>
        </w:rPr>
        <w:softHyphen/>
      </w:r>
      <w:r w:rsidRPr="004711AB">
        <w:rPr>
          <w:rFonts w:eastAsia="Times New Roman" w:cstheme="minorHAnsi"/>
        </w:rPr>
        <w:lastRenderedPageBreak/>
        <w:t>dealmen</w:t>
      </w:r>
      <w:r w:rsidR="00DD116A" w:rsidRPr="004711AB">
        <w:rPr>
          <w:rFonts w:eastAsia="Times New Roman" w:cstheme="minorHAnsi"/>
        </w:rPr>
        <w:t>)</w:t>
      </w:r>
      <w:r w:rsidRPr="004711AB">
        <w:rPr>
          <w:rFonts w:eastAsia="Times New Roman" w:cstheme="minorHAnsi"/>
        </w:rPr>
        <w:t xml:space="preserve"> für die Nutzungsberechtigten tragen</w:t>
      </w:r>
      <w:r w:rsidR="003907DB" w:rsidRPr="004711AB">
        <w:rPr>
          <w:rFonts w:eastAsia="Times New Roman" w:cstheme="minorHAnsi"/>
        </w:rPr>
        <w:t>, zweifellos ein dem verfassungs</w:t>
      </w:r>
      <w:r w:rsidR="003907DB" w:rsidRPr="004711AB">
        <w:rPr>
          <w:rFonts w:eastAsia="Times New Roman" w:cstheme="minorHAnsi"/>
        </w:rPr>
        <w:softHyphen/>
        <w:t>recht</w:t>
      </w:r>
      <w:r w:rsidR="003907DB" w:rsidRPr="004711AB">
        <w:rPr>
          <w:rFonts w:eastAsia="Times New Roman" w:cstheme="minorHAnsi"/>
        </w:rPr>
        <w:softHyphen/>
        <w:t>lichen Gleichheitsgebot wider</w:t>
      </w:r>
      <w:r w:rsidR="004711AB">
        <w:rPr>
          <w:rFonts w:eastAsia="Times New Roman" w:cstheme="minorHAnsi"/>
        </w:rPr>
        <w:softHyphen/>
      </w:r>
      <w:r w:rsidR="003907DB" w:rsidRPr="004711AB">
        <w:rPr>
          <w:rFonts w:eastAsia="Times New Roman" w:cstheme="minorHAnsi"/>
        </w:rPr>
        <w:t>streitender Zustand</w:t>
      </w:r>
      <w:r w:rsidRPr="004711AB">
        <w:rPr>
          <w:rFonts w:eastAsia="Times New Roman" w:cstheme="minorHAnsi"/>
        </w:rPr>
        <w:t xml:space="preserve"> (vgl </w:t>
      </w:r>
      <w:hyperlink r:id="rId8" w:history="1">
        <w:r w:rsidRPr="000A1E68">
          <w:rPr>
            <w:rStyle w:val="Hyperlink"/>
            <w:rFonts w:eastAsia="Times New Roman" w:cstheme="minorHAnsi"/>
          </w:rPr>
          <w:t>2014 - Stellungnahme des Gemeinde</w:t>
        </w:r>
        <w:r w:rsidR="00605486" w:rsidRPr="000A1E68">
          <w:rPr>
            <w:rStyle w:val="Hyperlink"/>
            <w:rFonts w:eastAsia="Times New Roman" w:cstheme="minorHAnsi"/>
          </w:rPr>
          <w:softHyphen/>
        </w:r>
        <w:r w:rsidRPr="000A1E68">
          <w:rPr>
            <w:rStyle w:val="Hyperlink"/>
            <w:rFonts w:eastAsia="Times New Roman" w:cstheme="minorHAnsi"/>
          </w:rPr>
          <w:t>ver</w:t>
        </w:r>
        <w:r w:rsidR="00605486" w:rsidRPr="000A1E68">
          <w:rPr>
            <w:rStyle w:val="Hyperlink"/>
            <w:rFonts w:eastAsia="Times New Roman" w:cstheme="minorHAnsi"/>
          </w:rPr>
          <w:softHyphen/>
        </w:r>
        <w:r w:rsidRPr="000A1E68">
          <w:rPr>
            <w:rStyle w:val="Hyperlink"/>
            <w:rFonts w:eastAsia="Times New Roman" w:cstheme="minorHAnsi"/>
          </w:rPr>
          <w:t>bandes zum Entwurf einer Bewirt</w:t>
        </w:r>
        <w:r w:rsidR="004711AB" w:rsidRPr="000A1E68">
          <w:rPr>
            <w:rStyle w:val="Hyperlink"/>
            <w:rFonts w:eastAsia="Times New Roman" w:cstheme="minorHAnsi"/>
          </w:rPr>
          <w:softHyphen/>
        </w:r>
        <w:r w:rsidRPr="000A1E68">
          <w:rPr>
            <w:rStyle w:val="Hyperlink"/>
            <w:rFonts w:eastAsia="Times New Roman" w:cstheme="minorHAnsi"/>
          </w:rPr>
          <w:t>schaftungsbeitragsverordnung</w:t>
        </w:r>
      </w:hyperlink>
      <w:r w:rsidRPr="004711AB">
        <w:rPr>
          <w:rFonts w:eastAsia="Times New Roman" w:cstheme="minorHAnsi"/>
        </w:rPr>
        <w:t>).</w:t>
      </w:r>
      <w:bookmarkEnd w:id="0"/>
    </w:p>
    <w:sectPr w:rsidR="00E21395" w:rsidRPr="004711AB" w:rsidSect="00D07F89">
      <w:headerReference w:type="default" r:id="rId9"/>
      <w:footerReference w:type="default" r:id="rId10"/>
      <w:pgSz w:w="11906" w:h="16838"/>
      <w:pgMar w:top="1417" w:right="1417" w:bottom="1134" w:left="1417" w:header="113" w:footer="340" w:gutter="0"/>
      <w:pgNumType w:fmt="numberInDash"/>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1127" w14:textId="77777777" w:rsidR="004B5207" w:rsidRDefault="004B5207" w:rsidP="0033541A">
      <w:pPr>
        <w:spacing w:after="0" w:line="240" w:lineRule="auto"/>
      </w:pPr>
      <w:r>
        <w:separator/>
      </w:r>
    </w:p>
  </w:endnote>
  <w:endnote w:type="continuationSeparator" w:id="0">
    <w:p w14:paraId="1B668C44" w14:textId="77777777" w:rsidR="004B5207" w:rsidRDefault="004B5207" w:rsidP="0033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iome Light">
    <w:altName w:val="Biome Light"/>
    <w:charset w:val="00"/>
    <w:family w:val="swiss"/>
    <w:pitch w:val="variable"/>
    <w:sig w:usb0="A11526FF" w:usb1="8000000A" w:usb2="00010000" w:usb3="00000000" w:csb0="0000019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2A68" w14:textId="77777777" w:rsidR="005B3807" w:rsidRDefault="005B3807" w:rsidP="0033541A">
    <w:pPr>
      <w:pStyle w:val="Fuzeile"/>
      <w:jc w:val="center"/>
      <w:rPr>
        <w:rFonts w:ascii="Biome Light" w:eastAsia="Yu Gothic UI Semibold" w:hAnsi="Biome Light" w:cs="Biome Light"/>
        <w:b/>
        <w:bCs/>
        <w:sz w:val="24"/>
        <w:szCs w:val="24"/>
      </w:rPr>
    </w:pPr>
  </w:p>
  <w:p w14:paraId="3E5E3D99" w14:textId="77777777" w:rsidR="00D07F89" w:rsidRDefault="00D07F89" w:rsidP="00D07F89">
    <w:pPr>
      <w:pStyle w:val="Fuzeile"/>
      <w:jc w:val="center"/>
      <w:rPr>
        <w:rFonts w:cstheme="minorHAnsi"/>
      </w:rPr>
    </w:pPr>
    <w:r>
      <w:rPr>
        <w:rFonts w:eastAsia="Yu Gothic UI Semibold" w:cstheme="minorHAnsi"/>
      </w:rPr>
      <w:t>&gt;&gt; Gemeindeland in Gemeindehand &lt;&lt;</w:t>
    </w:r>
  </w:p>
  <w:p w14:paraId="272915CA" w14:textId="77777777" w:rsidR="006E7C2D" w:rsidRPr="0033541A" w:rsidRDefault="006E7C2D" w:rsidP="0033541A">
    <w:pPr>
      <w:pStyle w:val="Fuzeil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8614" w14:textId="77777777" w:rsidR="004B5207" w:rsidRDefault="004B5207" w:rsidP="0033541A">
      <w:pPr>
        <w:spacing w:after="0" w:line="240" w:lineRule="auto"/>
      </w:pPr>
      <w:r>
        <w:separator/>
      </w:r>
    </w:p>
  </w:footnote>
  <w:footnote w:type="continuationSeparator" w:id="0">
    <w:p w14:paraId="5D32B39A" w14:textId="77777777" w:rsidR="004B5207" w:rsidRDefault="004B5207" w:rsidP="0033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93090"/>
      <w:docPartObj>
        <w:docPartGallery w:val="Page Numbers (Top of Page)"/>
        <w:docPartUnique/>
      </w:docPartObj>
    </w:sdtPr>
    <w:sdtEndPr/>
    <w:sdtContent>
      <w:p w14:paraId="5CA7DE66" w14:textId="77777777" w:rsidR="00AD7547" w:rsidRDefault="00AD7547">
        <w:pPr>
          <w:pStyle w:val="Kopfzeile"/>
          <w:jc w:val="center"/>
        </w:pPr>
      </w:p>
      <w:p w14:paraId="32F4A949" w14:textId="2F0BDACE" w:rsidR="00E21395" w:rsidRDefault="00E21395">
        <w:pPr>
          <w:pStyle w:val="Kopfzeile"/>
          <w:jc w:val="center"/>
        </w:pPr>
        <w:r>
          <w:fldChar w:fldCharType="begin"/>
        </w:r>
        <w:r>
          <w:instrText>PAGE   \* MERGEFORMAT</w:instrText>
        </w:r>
        <w:r>
          <w:fldChar w:fldCharType="separate"/>
        </w:r>
        <w:r w:rsidR="004F07B5" w:rsidRPr="004F07B5">
          <w:rPr>
            <w:noProof/>
            <w:lang w:val="de-DE"/>
          </w:rPr>
          <w:t>1</w:t>
        </w:r>
        <w:r>
          <w:fldChar w:fldCharType="end"/>
        </w:r>
      </w:p>
      <w:p w14:paraId="2D69215C" w14:textId="77777777" w:rsidR="00E21395" w:rsidRDefault="00E21395">
        <w:pPr>
          <w:pStyle w:val="Kopfzeile"/>
          <w:jc w:val="center"/>
        </w:pPr>
      </w:p>
      <w:p w14:paraId="583957D0" w14:textId="112AAE30" w:rsidR="00E21395" w:rsidRDefault="004B5207">
        <w:pPr>
          <w:pStyle w:val="Kopfzeile"/>
          <w:jc w:val="center"/>
        </w:pPr>
      </w:p>
    </w:sdtContent>
  </w:sdt>
  <w:p w14:paraId="4D3F1ECD" w14:textId="77777777" w:rsidR="00E21395" w:rsidRDefault="00E213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8E6"/>
    <w:multiLevelType w:val="multilevel"/>
    <w:tmpl w:val="A0321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CD28D9"/>
    <w:multiLevelType w:val="hybridMultilevel"/>
    <w:tmpl w:val="807229C2"/>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3">
      <w:start w:val="1"/>
      <w:numFmt w:val="bullet"/>
      <w:lvlText w:val="o"/>
      <w:lvlJc w:val="left"/>
      <w:pPr>
        <w:ind w:left="1800" w:hanging="360"/>
      </w:pPr>
      <w:rPr>
        <w:rFonts w:ascii="Courier New" w:hAnsi="Courier New" w:cs="Courier New"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BC7339E"/>
    <w:multiLevelType w:val="multilevel"/>
    <w:tmpl w:val="E2E86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9B0497A"/>
    <w:multiLevelType w:val="multilevel"/>
    <w:tmpl w:val="2B06E8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9058DE"/>
    <w:multiLevelType w:val="hybridMultilevel"/>
    <w:tmpl w:val="0F1E3DB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E746FB8"/>
    <w:multiLevelType w:val="hybridMultilevel"/>
    <w:tmpl w:val="6F1628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822272"/>
    <w:multiLevelType w:val="multilevel"/>
    <w:tmpl w:val="74C2AE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58E91984"/>
    <w:multiLevelType w:val="multilevel"/>
    <w:tmpl w:val="0A1AC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9281A06"/>
    <w:multiLevelType w:val="hybridMultilevel"/>
    <w:tmpl w:val="00169E4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FB871C8"/>
    <w:multiLevelType w:val="hybridMultilevel"/>
    <w:tmpl w:val="45C86768"/>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FBE4023"/>
    <w:multiLevelType w:val="hybridMultilevel"/>
    <w:tmpl w:val="A3CE92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13A168A"/>
    <w:multiLevelType w:val="multilevel"/>
    <w:tmpl w:val="B014613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3"/>
  </w:num>
  <w:num w:numId="3">
    <w:abstractNumId w:val="0"/>
  </w:num>
  <w:num w:numId="4">
    <w:abstractNumId w:val="11"/>
  </w:num>
  <w:num w:numId="5">
    <w:abstractNumId w:val="7"/>
  </w:num>
  <w:num w:numId="6">
    <w:abstractNumId w:val="6"/>
  </w:num>
  <w:num w:numId="7">
    <w:abstractNumId w:val="4"/>
  </w:num>
  <w:num w:numId="8">
    <w:abstractNumId w:val="5"/>
  </w:num>
  <w:num w:numId="9">
    <w:abstractNumId w:val="9"/>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D0"/>
    <w:rsid w:val="00035985"/>
    <w:rsid w:val="000A1E68"/>
    <w:rsid w:val="000E124B"/>
    <w:rsid w:val="000F4189"/>
    <w:rsid w:val="00125FAF"/>
    <w:rsid w:val="0013079D"/>
    <w:rsid w:val="001D1F8F"/>
    <w:rsid w:val="001D7AC6"/>
    <w:rsid w:val="0020794F"/>
    <w:rsid w:val="00230B9D"/>
    <w:rsid w:val="00290758"/>
    <w:rsid w:val="002E63A5"/>
    <w:rsid w:val="002F1253"/>
    <w:rsid w:val="00301411"/>
    <w:rsid w:val="00317589"/>
    <w:rsid w:val="0033541A"/>
    <w:rsid w:val="0038159C"/>
    <w:rsid w:val="003907DB"/>
    <w:rsid w:val="0040222F"/>
    <w:rsid w:val="004711AB"/>
    <w:rsid w:val="00474C42"/>
    <w:rsid w:val="00491899"/>
    <w:rsid w:val="004B5207"/>
    <w:rsid w:val="004D69BE"/>
    <w:rsid w:val="004E60F6"/>
    <w:rsid w:val="004F07B5"/>
    <w:rsid w:val="00527AA3"/>
    <w:rsid w:val="005B080B"/>
    <w:rsid w:val="005B3807"/>
    <w:rsid w:val="00605486"/>
    <w:rsid w:val="00623352"/>
    <w:rsid w:val="0064668D"/>
    <w:rsid w:val="00661FC2"/>
    <w:rsid w:val="006E7C2D"/>
    <w:rsid w:val="006F5606"/>
    <w:rsid w:val="00722675"/>
    <w:rsid w:val="0075771D"/>
    <w:rsid w:val="0078499F"/>
    <w:rsid w:val="007946C9"/>
    <w:rsid w:val="008B62D0"/>
    <w:rsid w:val="008D1B82"/>
    <w:rsid w:val="008E1EFB"/>
    <w:rsid w:val="00900343"/>
    <w:rsid w:val="00904041"/>
    <w:rsid w:val="00950126"/>
    <w:rsid w:val="009B590F"/>
    <w:rsid w:val="009E373A"/>
    <w:rsid w:val="009F5DFB"/>
    <w:rsid w:val="00A77F64"/>
    <w:rsid w:val="00A8555A"/>
    <w:rsid w:val="00AD36F0"/>
    <w:rsid w:val="00AD7547"/>
    <w:rsid w:val="00B709F3"/>
    <w:rsid w:val="00B809F7"/>
    <w:rsid w:val="00B818F7"/>
    <w:rsid w:val="00C17489"/>
    <w:rsid w:val="00CB3BD7"/>
    <w:rsid w:val="00CF2D7A"/>
    <w:rsid w:val="00D0149A"/>
    <w:rsid w:val="00D07F89"/>
    <w:rsid w:val="00D16B41"/>
    <w:rsid w:val="00DD116A"/>
    <w:rsid w:val="00E06875"/>
    <w:rsid w:val="00E131A7"/>
    <w:rsid w:val="00E21395"/>
    <w:rsid w:val="00E23167"/>
    <w:rsid w:val="00E51AC2"/>
    <w:rsid w:val="00E568C8"/>
    <w:rsid w:val="00EA74B9"/>
    <w:rsid w:val="00EB026C"/>
    <w:rsid w:val="00F270AD"/>
    <w:rsid w:val="00FB4953"/>
    <w:rsid w:val="00FC69F8"/>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4BE7"/>
  <w15:docId w15:val="{F53B0F30-28B3-4BD8-AE6C-AAF642D8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C36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rsid w:val="0096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qFormat/>
    <w:rsid w:val="00C2235C"/>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uiPriority w:val="9"/>
    <w:qFormat/>
    <w:rsid w:val="00C2235C"/>
    <w:rPr>
      <w:rFonts w:ascii="Times New Roman" w:eastAsia="Times New Roman" w:hAnsi="Times New Roman" w:cs="Times New Roman"/>
      <w:b/>
      <w:bCs/>
      <w:sz w:val="27"/>
      <w:szCs w:val="27"/>
    </w:rPr>
  </w:style>
  <w:style w:type="character" w:styleId="Fett">
    <w:name w:val="Strong"/>
    <w:basedOn w:val="Absatz-Standardschriftart"/>
    <w:uiPriority w:val="22"/>
    <w:qFormat/>
    <w:rsid w:val="00C2235C"/>
    <w:rPr>
      <w:b/>
      <w:bCs/>
    </w:rPr>
  </w:style>
  <w:style w:type="character" w:customStyle="1" w:styleId="Internetverknpfung">
    <w:name w:val="Internetverknüpfung"/>
    <w:basedOn w:val="Absatz-Standardschriftart"/>
    <w:uiPriority w:val="99"/>
    <w:unhideWhenUsed/>
    <w:rsid w:val="00BD501E"/>
    <w:rPr>
      <w:color w:val="0000FF"/>
      <w:u w:val="single"/>
    </w:rPr>
  </w:style>
  <w:style w:type="character" w:customStyle="1" w:styleId="berschrift1Zchn">
    <w:name w:val="Überschrift 1 Zchn"/>
    <w:basedOn w:val="Absatz-Standardschriftart"/>
    <w:uiPriority w:val="9"/>
    <w:qFormat/>
    <w:rsid w:val="00C36E0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semiHidden/>
    <w:qFormat/>
    <w:rsid w:val="00967E50"/>
    <w:rPr>
      <w:rFonts w:asciiTheme="majorHAnsi" w:eastAsiaTheme="majorEastAsia" w:hAnsiTheme="majorHAnsi" w:cstheme="majorBidi"/>
      <w:color w:val="2F5496" w:themeColor="accent1" w:themeShade="BF"/>
      <w:sz w:val="26"/>
      <w:szCs w:val="26"/>
    </w:rPr>
  </w:style>
  <w:style w:type="character" w:customStyle="1" w:styleId="NichtaufgelsteErwhnung1">
    <w:name w:val="Nicht aufgelöste Erwähnung1"/>
    <w:basedOn w:val="Absatz-Standardschriftart"/>
    <w:uiPriority w:val="99"/>
    <w:semiHidden/>
    <w:unhideWhenUsed/>
    <w:qFormat/>
    <w:rsid w:val="00967E50"/>
    <w:rPr>
      <w:color w:val="605E5C"/>
      <w:shd w:val="clear" w:color="auto" w:fill="E1DFDD"/>
    </w:rPr>
  </w:style>
  <w:style w:type="character" w:styleId="Kommentarzeichen">
    <w:name w:val="annotation reference"/>
    <w:basedOn w:val="Absatz-Standardschriftart"/>
    <w:uiPriority w:val="99"/>
    <w:semiHidden/>
    <w:unhideWhenUsed/>
    <w:qFormat/>
    <w:rsid w:val="00A41583"/>
    <w:rPr>
      <w:sz w:val="16"/>
      <w:szCs w:val="16"/>
    </w:rPr>
  </w:style>
  <w:style w:type="character" w:customStyle="1" w:styleId="KommentartextZchn">
    <w:name w:val="Kommentartext Zchn"/>
    <w:basedOn w:val="Absatz-Standardschriftart"/>
    <w:link w:val="Kommentartext"/>
    <w:uiPriority w:val="99"/>
    <w:semiHidden/>
    <w:qFormat/>
    <w:rsid w:val="00A41583"/>
    <w:rPr>
      <w:sz w:val="20"/>
      <w:szCs w:val="20"/>
    </w:rPr>
  </w:style>
  <w:style w:type="character" w:customStyle="1" w:styleId="KommentarthemaZchn">
    <w:name w:val="Kommentarthema Zchn"/>
    <w:basedOn w:val="KommentartextZchn"/>
    <w:link w:val="Kommentarthema"/>
    <w:uiPriority w:val="99"/>
    <w:semiHidden/>
    <w:qFormat/>
    <w:rsid w:val="00A41583"/>
    <w:rPr>
      <w:b/>
      <w:bCs/>
      <w:sz w:val="20"/>
      <w:szCs w:val="20"/>
    </w:rPr>
  </w:style>
  <w:style w:type="character" w:customStyle="1" w:styleId="SprechblasentextZchn">
    <w:name w:val="Sprechblasentext Zchn"/>
    <w:basedOn w:val="Absatz-Standardschriftart"/>
    <w:link w:val="Sprechblasentext"/>
    <w:uiPriority w:val="99"/>
    <w:semiHidden/>
    <w:qFormat/>
    <w:rsid w:val="00A41583"/>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Homepage1">
    <w:name w:val="Homepage 1"/>
    <w:basedOn w:val="Standard"/>
    <w:qFormat/>
    <w:rsid w:val="003262E7"/>
    <w:pPr>
      <w:spacing w:after="0" w:line="240" w:lineRule="auto"/>
      <w:contextualSpacing/>
      <w:jc w:val="both"/>
    </w:pPr>
    <w:rPr>
      <w:rFonts w:ascii="Calibri" w:eastAsiaTheme="minorEastAsia" w:hAnsi="Calibri" w:cs="Calibri"/>
      <w:color w:val="595959" w:themeColor="text1" w:themeTint="A6"/>
      <w:lang w:val="de-DE" w:eastAsia="en-US"/>
    </w:rPr>
  </w:style>
  <w:style w:type="paragraph" w:styleId="StandardWeb">
    <w:name w:val="Normal (Web)"/>
    <w:basedOn w:val="Standard"/>
    <w:uiPriority w:val="99"/>
    <w:unhideWhenUsed/>
    <w:qFormat/>
    <w:rsid w:val="00397C8C"/>
    <w:pPr>
      <w:spacing w:beforeAutospacing="1"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99"/>
    <w:qFormat/>
    <w:rsid w:val="002666C5"/>
    <w:pPr>
      <w:ind w:left="720"/>
      <w:contextualSpacing/>
    </w:pPr>
  </w:style>
  <w:style w:type="paragraph" w:styleId="Kommentartext">
    <w:name w:val="annotation text"/>
    <w:basedOn w:val="Standard"/>
    <w:link w:val="KommentartextZchn"/>
    <w:uiPriority w:val="99"/>
    <w:semiHidden/>
    <w:unhideWhenUsed/>
    <w:qFormat/>
    <w:rsid w:val="00A4158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41583"/>
    <w:rPr>
      <w:b/>
      <w:bCs/>
    </w:rPr>
  </w:style>
  <w:style w:type="paragraph" w:styleId="Sprechblasentext">
    <w:name w:val="Balloon Text"/>
    <w:basedOn w:val="Standard"/>
    <w:link w:val="SprechblasentextZchn"/>
    <w:uiPriority w:val="99"/>
    <w:semiHidden/>
    <w:unhideWhenUsed/>
    <w:qFormat/>
    <w:rsid w:val="00A41583"/>
    <w:pPr>
      <w:spacing w:after="0" w:line="240" w:lineRule="auto"/>
    </w:pPr>
    <w:rPr>
      <w:rFonts w:ascii="Segoe UI" w:hAnsi="Segoe UI" w:cs="Segoe UI"/>
      <w:sz w:val="18"/>
      <w:szCs w:val="18"/>
    </w:rPr>
  </w:style>
  <w:style w:type="paragraph" w:styleId="Kopfzeile">
    <w:name w:val="header"/>
    <w:basedOn w:val="Standard"/>
    <w:link w:val="KopfzeileZchn"/>
    <w:uiPriority w:val="99"/>
    <w:unhideWhenUsed/>
    <w:rsid w:val="003354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41A"/>
    <w:rPr>
      <w:sz w:val="22"/>
    </w:rPr>
  </w:style>
  <w:style w:type="paragraph" w:styleId="Fuzeile">
    <w:name w:val="footer"/>
    <w:basedOn w:val="Standard"/>
    <w:link w:val="FuzeileZchn"/>
    <w:uiPriority w:val="99"/>
    <w:unhideWhenUsed/>
    <w:rsid w:val="0033541A"/>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33541A"/>
    <w:rPr>
      <w:sz w:val="22"/>
    </w:rPr>
  </w:style>
  <w:style w:type="paragraph" w:styleId="NurText">
    <w:name w:val="Plain Text"/>
    <w:basedOn w:val="Standard"/>
    <w:link w:val="NurTextZchn"/>
    <w:uiPriority w:val="99"/>
    <w:semiHidden/>
    <w:unhideWhenUsed/>
    <w:rsid w:val="00E21395"/>
    <w:pPr>
      <w:suppressAutoHyphens w:val="0"/>
      <w:spacing w:after="0" w:line="240" w:lineRule="auto"/>
    </w:pPr>
    <w:rPr>
      <w:rFonts w:ascii="Calibri" w:hAnsi="Calibri"/>
      <w:szCs w:val="21"/>
      <w:lang w:eastAsia="en-US"/>
    </w:rPr>
  </w:style>
  <w:style w:type="character" w:customStyle="1" w:styleId="NurTextZchn">
    <w:name w:val="Nur Text Zchn"/>
    <w:basedOn w:val="Absatz-Standardschriftart"/>
    <w:link w:val="NurText"/>
    <w:uiPriority w:val="99"/>
    <w:semiHidden/>
    <w:rsid w:val="00E21395"/>
    <w:rPr>
      <w:rFonts w:ascii="Calibri" w:hAnsi="Calibri"/>
      <w:sz w:val="22"/>
      <w:szCs w:val="21"/>
      <w:lang w:eastAsia="en-US"/>
    </w:rPr>
  </w:style>
  <w:style w:type="table" w:styleId="Tabellenraster">
    <w:name w:val="Table Grid"/>
    <w:basedOn w:val="NormaleTabelle"/>
    <w:uiPriority w:val="39"/>
    <w:rsid w:val="001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1E68"/>
    <w:rPr>
      <w:color w:val="0563C1" w:themeColor="hyperlink"/>
      <w:u w:val="single"/>
    </w:rPr>
  </w:style>
  <w:style w:type="character" w:styleId="NichtaufgelsteErwhnung">
    <w:name w:val="Unresolved Mention"/>
    <w:basedOn w:val="Absatz-Standardschriftart"/>
    <w:uiPriority w:val="99"/>
    <w:semiHidden/>
    <w:unhideWhenUsed/>
    <w:rsid w:val="000A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4443">
      <w:bodyDiv w:val="1"/>
      <w:marLeft w:val="0"/>
      <w:marRight w:val="0"/>
      <w:marTop w:val="0"/>
      <w:marBottom w:val="0"/>
      <w:divBdr>
        <w:top w:val="none" w:sz="0" w:space="0" w:color="auto"/>
        <w:left w:val="none" w:sz="0" w:space="0" w:color="auto"/>
        <w:bottom w:val="none" w:sz="0" w:space="0" w:color="auto"/>
        <w:right w:val="none" w:sz="0" w:space="0" w:color="auto"/>
      </w:divBdr>
    </w:div>
    <w:div w:id="1309241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land.at/wp-content/uploads/2021/12/2014-Stellungnahme-des-Gemeindeverbandes-zum-Entwurf-einer-Bewirtschaftungsbeitragsverordnu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0424-0459-425D-9A46-C54A2C42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Lux</dc:creator>
  <dc:description/>
  <cp:lastModifiedBy>Puzik, Verena</cp:lastModifiedBy>
  <cp:revision>88</cp:revision>
  <cp:lastPrinted>2021-01-14T11:32:00Z</cp:lastPrinted>
  <dcterms:created xsi:type="dcterms:W3CDTF">2020-06-07T13:31:00Z</dcterms:created>
  <dcterms:modified xsi:type="dcterms:W3CDTF">2021-12-09T16:13:00Z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