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F6D5" w14:textId="495BA3B0" w:rsidR="00317589" w:rsidRPr="00C82695" w:rsidRDefault="002E1B6B" w:rsidP="00C82695">
      <w:pPr>
        <w:pStyle w:val="berschrift3"/>
        <w:spacing w:before="100" w:after="360" w:afterAutospacing="0" w:line="276" w:lineRule="auto"/>
        <w:jc w:val="center"/>
        <w:rPr>
          <w:rFonts w:asciiTheme="minorHAnsi" w:hAnsiTheme="minorHAnsi" w:cstheme="minorHAnsi"/>
          <w:color w:val="C00000"/>
          <w:sz w:val="32"/>
          <w:szCs w:val="32"/>
        </w:rPr>
      </w:pPr>
      <w:bookmarkStart w:id="0" w:name="_Hlk60935628"/>
      <w:r w:rsidRPr="00C82695">
        <w:rPr>
          <w:rFonts w:asciiTheme="minorHAnsi" w:hAnsiTheme="minorHAnsi" w:cstheme="minorHAnsi"/>
          <w:color w:val="C00000"/>
          <w:sz w:val="32"/>
          <w:szCs w:val="32"/>
        </w:rPr>
        <w:t xml:space="preserve">Der Substanzverwalter – ein </w:t>
      </w:r>
      <w:r w:rsidR="00C82695" w:rsidRPr="00C82695">
        <w:rPr>
          <w:rFonts w:asciiTheme="minorHAnsi" w:hAnsiTheme="minorHAnsi" w:cstheme="minorHAnsi"/>
          <w:color w:val="C00000"/>
          <w:sz w:val="32"/>
          <w:szCs w:val="32"/>
        </w:rPr>
        <w:t xml:space="preserve">Fehlkonstrukt </w:t>
      </w:r>
      <w:r w:rsidR="00C82695">
        <w:rPr>
          <w:rFonts w:asciiTheme="minorHAnsi" w:hAnsiTheme="minorHAnsi" w:cstheme="minorHAnsi"/>
          <w:color w:val="C00000"/>
          <w:sz w:val="32"/>
          <w:szCs w:val="32"/>
        </w:rPr>
        <w:t>als kostspieliges</w:t>
      </w:r>
      <w:r w:rsidR="00E041D2" w:rsidRPr="00C82695">
        <w:rPr>
          <w:rFonts w:asciiTheme="minorHAnsi" w:hAnsiTheme="minorHAnsi" w:cstheme="minorHAnsi"/>
          <w:color w:val="C00000"/>
          <w:sz w:val="32"/>
          <w:szCs w:val="32"/>
        </w:rPr>
        <w:t xml:space="preserve"> </w:t>
      </w:r>
      <w:r w:rsidRPr="00C82695">
        <w:rPr>
          <w:rFonts w:asciiTheme="minorHAnsi" w:hAnsiTheme="minorHAnsi" w:cstheme="minorHAnsi"/>
          <w:color w:val="C00000"/>
          <w:sz w:val="32"/>
          <w:szCs w:val="32"/>
        </w:rPr>
        <w:t>Verwaltungsmonster</w:t>
      </w:r>
    </w:p>
    <w:p w14:paraId="1ABDAEC6" w14:textId="555B2071" w:rsidR="00A95D31" w:rsidRPr="00C82695" w:rsidRDefault="00317589" w:rsidP="00C82695">
      <w:pPr>
        <w:spacing w:line="276" w:lineRule="auto"/>
        <w:rPr>
          <w:rFonts w:eastAsia="Times New Roman" w:cstheme="minorHAnsi"/>
        </w:rPr>
      </w:pPr>
      <w:r w:rsidRPr="00C82695">
        <w:t>Mit dem Ziel der Sicherstellung der Rechte der Gemeinde als materielle Eigentümerin des Gemeinde</w:t>
      </w:r>
      <w:r w:rsidR="00C82695">
        <w:softHyphen/>
      </w:r>
      <w:r w:rsidRPr="00C82695">
        <w:t xml:space="preserve">guts wurde </w:t>
      </w:r>
      <w:r w:rsidR="001A25BD" w:rsidRPr="00C82695">
        <w:t xml:space="preserve">mit der TFLG-Nov 2014 </w:t>
      </w:r>
      <w:r w:rsidR="00950126" w:rsidRPr="00C82695">
        <w:t xml:space="preserve">die Funktion </w:t>
      </w:r>
      <w:r w:rsidRPr="00C82695">
        <w:t>de</w:t>
      </w:r>
      <w:r w:rsidR="00950126" w:rsidRPr="00C82695">
        <w:t>s</w:t>
      </w:r>
      <w:r w:rsidRPr="00C82695">
        <w:t xml:space="preserve"> Substanzverwalter</w:t>
      </w:r>
      <w:r w:rsidR="00950126" w:rsidRPr="00C82695">
        <w:t>s</w:t>
      </w:r>
      <w:r w:rsidRPr="00C82695">
        <w:t xml:space="preserve"> </w:t>
      </w:r>
      <w:r w:rsidR="00950126" w:rsidRPr="00C82695">
        <w:t>einge</w:t>
      </w:r>
      <w:r w:rsidR="00296F58" w:rsidRPr="00C82695">
        <w:softHyphen/>
      </w:r>
      <w:r w:rsidR="00950126" w:rsidRPr="00C82695">
        <w:t>führt</w:t>
      </w:r>
      <w:r w:rsidR="002E1B6B" w:rsidRPr="00C82695">
        <w:t xml:space="preserve">. </w:t>
      </w:r>
      <w:r w:rsidR="00C82695" w:rsidRPr="00C82695">
        <w:rPr>
          <w:rFonts w:eastAsia="Times New Roman" w:cstheme="minorHAnsi"/>
        </w:rPr>
        <w:t>Dieser</w:t>
      </w:r>
      <w:r w:rsidR="00E21395" w:rsidRPr="00C82695">
        <w:rPr>
          <w:rFonts w:eastAsia="Times New Roman" w:cstheme="minorHAnsi"/>
        </w:rPr>
        <w:t xml:space="preserve"> ist </w:t>
      </w:r>
      <w:r w:rsidR="001A25BD" w:rsidRPr="00C82695">
        <w:rPr>
          <w:rFonts w:eastAsia="Times New Roman" w:cstheme="minorHAnsi"/>
        </w:rPr>
        <w:t>als</w:t>
      </w:r>
      <w:r w:rsidR="00E21395" w:rsidRPr="00C82695">
        <w:rPr>
          <w:rFonts w:eastAsia="Times New Roman" w:cstheme="minorHAnsi"/>
        </w:rPr>
        <w:t xml:space="preserve"> Organ der Agrargemeinschaft</w:t>
      </w:r>
      <w:r w:rsidR="001A25BD" w:rsidRPr="00C82695">
        <w:rPr>
          <w:rFonts w:eastAsia="Times New Roman" w:cstheme="minorHAnsi"/>
        </w:rPr>
        <w:t xml:space="preserve"> konzipiert</w:t>
      </w:r>
      <w:r w:rsidR="00E21395" w:rsidRPr="00C82695">
        <w:rPr>
          <w:rFonts w:eastAsia="Times New Roman" w:cstheme="minorHAnsi"/>
        </w:rPr>
        <w:t xml:space="preserve">, </w:t>
      </w:r>
      <w:r w:rsidR="001A25BD" w:rsidRPr="00C82695">
        <w:rPr>
          <w:rFonts w:eastAsia="Times New Roman" w:cstheme="minorHAnsi"/>
        </w:rPr>
        <w:t>wird</w:t>
      </w:r>
      <w:r w:rsidR="00E21395" w:rsidRPr="00C82695">
        <w:rPr>
          <w:rFonts w:eastAsia="Times New Roman" w:cstheme="minorHAnsi"/>
        </w:rPr>
        <w:t xml:space="preserve"> jedoch vom Gemeinderat bestellt wird</w:t>
      </w:r>
      <w:r w:rsidR="00950126" w:rsidRPr="00C82695">
        <w:rPr>
          <w:rFonts w:eastAsia="Times New Roman" w:cstheme="minorHAnsi"/>
        </w:rPr>
        <w:t xml:space="preserve"> und</w:t>
      </w:r>
      <w:r w:rsidR="001A25BD" w:rsidRPr="00C82695">
        <w:rPr>
          <w:rFonts w:eastAsia="Times New Roman" w:cstheme="minorHAnsi"/>
        </w:rPr>
        <w:t xml:space="preserve"> hat</w:t>
      </w:r>
      <w:r w:rsidR="00950126" w:rsidRPr="00C82695">
        <w:rPr>
          <w:rFonts w:eastAsia="Times New Roman" w:cstheme="minorHAnsi"/>
        </w:rPr>
        <w:t xml:space="preserve"> </w:t>
      </w:r>
      <w:r w:rsidR="00950126" w:rsidRPr="00C82695">
        <w:t>als Vertreter der Gemeinde im Ausschuss der Gemeindeguts</w:t>
      </w:r>
      <w:r w:rsidR="00C82695" w:rsidRPr="00C82695">
        <w:softHyphen/>
      </w:r>
      <w:r w:rsidR="00950126" w:rsidRPr="00C82695">
        <w:t>agrar</w:t>
      </w:r>
      <w:r w:rsidR="00C82695" w:rsidRPr="00C82695">
        <w:softHyphen/>
      </w:r>
      <w:r w:rsidR="00950126" w:rsidRPr="00C82695">
        <w:t>gemeinschaften zu fungieren</w:t>
      </w:r>
      <w:r w:rsidR="00E21395" w:rsidRPr="00C82695">
        <w:rPr>
          <w:rFonts w:eastAsia="Times New Roman" w:cstheme="minorHAnsi"/>
        </w:rPr>
        <w:t xml:space="preserve">. </w:t>
      </w:r>
    </w:p>
    <w:p w14:paraId="0E3C4EA9" w14:textId="2A701EEA" w:rsidR="002E1B6B" w:rsidRPr="00C82695" w:rsidRDefault="00A95D31" w:rsidP="00C82695">
      <w:pPr>
        <w:spacing w:line="276" w:lineRule="auto"/>
        <w:rPr>
          <w:rFonts w:eastAsia="Times New Roman" w:cstheme="minorHAnsi"/>
        </w:rPr>
      </w:pPr>
      <w:r w:rsidRPr="00C82695">
        <w:t xml:space="preserve">Der Gemeinde wurde jedoch mit der Einführung dieser Funktion das ihr als (materielle) Eigentümerin zukommende direkte Zugriffsrecht auf das Gemeindegut </w:t>
      </w:r>
      <w:r w:rsidR="00F97C6E" w:rsidRPr="00C82695">
        <w:t>weitgehend genommen.</w:t>
      </w:r>
    </w:p>
    <w:p w14:paraId="507B429C" w14:textId="5BB46BF5" w:rsidR="00A95D31" w:rsidRPr="00C82695" w:rsidRDefault="002E1B6B" w:rsidP="00C82695">
      <w:pPr>
        <w:pStyle w:val="Listenabsatz"/>
        <w:numPr>
          <w:ilvl w:val="0"/>
          <w:numId w:val="13"/>
        </w:numPr>
        <w:spacing w:before="240" w:after="240"/>
        <w:ind w:left="357" w:hanging="357"/>
        <w:contextualSpacing w:val="0"/>
        <w:jc w:val="both"/>
        <w:rPr>
          <w:b/>
          <w:bCs/>
          <w:sz w:val="26"/>
          <w:szCs w:val="26"/>
        </w:rPr>
      </w:pPr>
      <w:r w:rsidRPr="00C82695">
        <w:rPr>
          <w:b/>
          <w:bCs/>
          <w:sz w:val="26"/>
          <w:szCs w:val="26"/>
        </w:rPr>
        <w:t xml:space="preserve">Die </w:t>
      </w:r>
      <w:r w:rsidR="00950126" w:rsidRPr="00C82695">
        <w:rPr>
          <w:b/>
          <w:bCs/>
          <w:sz w:val="26"/>
          <w:szCs w:val="26"/>
        </w:rPr>
        <w:t>Aufgaben und Pflichten des</w:t>
      </w:r>
      <w:r w:rsidR="00E21395" w:rsidRPr="00C82695">
        <w:rPr>
          <w:b/>
          <w:bCs/>
          <w:sz w:val="26"/>
          <w:szCs w:val="26"/>
        </w:rPr>
        <w:t xml:space="preserve"> Substanzverwalter</w:t>
      </w:r>
      <w:r w:rsidRPr="00C82695">
        <w:rPr>
          <w:b/>
          <w:bCs/>
          <w:sz w:val="26"/>
          <w:szCs w:val="26"/>
        </w:rPr>
        <w:t xml:space="preserve">s (§§ 36a – 36k TFLG 1996 </w:t>
      </w:r>
      <w:proofErr w:type="spellStart"/>
      <w:r w:rsidRPr="00C82695">
        <w:rPr>
          <w:b/>
          <w:bCs/>
          <w:sz w:val="26"/>
          <w:szCs w:val="26"/>
        </w:rPr>
        <w:t>idFd</w:t>
      </w:r>
      <w:proofErr w:type="spellEnd"/>
      <w:r w:rsidRPr="00C82695">
        <w:rPr>
          <w:b/>
          <w:bCs/>
          <w:sz w:val="26"/>
          <w:szCs w:val="26"/>
        </w:rPr>
        <w:t xml:space="preserve"> TFLG-Nov. 2014, LGBl. 70/2014)</w:t>
      </w:r>
    </w:p>
    <w:p w14:paraId="564545CF" w14:textId="634FFA25" w:rsidR="005B080B" w:rsidRPr="00C82695" w:rsidRDefault="002E1B6B" w:rsidP="00C82695">
      <w:pPr>
        <w:pStyle w:val="Listenabsatz"/>
        <w:numPr>
          <w:ilvl w:val="0"/>
          <w:numId w:val="9"/>
        </w:numPr>
        <w:spacing w:before="100" w:beforeAutospacing="1" w:after="0" w:line="276" w:lineRule="auto"/>
        <w:rPr>
          <w:i/>
          <w:iCs/>
        </w:rPr>
      </w:pPr>
      <w:r w:rsidRPr="00C82695">
        <w:rPr>
          <w:i/>
          <w:iCs/>
        </w:rPr>
        <w:t>Der Substanzverwalter</w:t>
      </w:r>
      <w:r w:rsidR="00950126" w:rsidRPr="00C82695">
        <w:rPr>
          <w:i/>
          <w:iCs/>
        </w:rPr>
        <w:t xml:space="preserve"> hat</w:t>
      </w:r>
      <w:r w:rsidR="00E21395" w:rsidRPr="00C82695">
        <w:rPr>
          <w:i/>
          <w:iCs/>
        </w:rPr>
        <w:t xml:space="preserve"> jene </w:t>
      </w:r>
      <w:r w:rsidR="00E21395" w:rsidRPr="00C82695">
        <w:rPr>
          <w:b/>
          <w:bCs/>
          <w:i/>
          <w:iCs/>
        </w:rPr>
        <w:t>Angelegenheiten</w:t>
      </w:r>
      <w:r w:rsidR="00950126" w:rsidRPr="00C82695">
        <w:rPr>
          <w:b/>
          <w:bCs/>
          <w:i/>
          <w:iCs/>
        </w:rPr>
        <w:t xml:space="preserve"> zu besorgen</w:t>
      </w:r>
      <w:r w:rsidR="00E21395" w:rsidRPr="00C82695">
        <w:rPr>
          <w:b/>
          <w:bCs/>
          <w:i/>
          <w:iCs/>
        </w:rPr>
        <w:t>, die ausschließlich den Substanzwert betreffen</w:t>
      </w:r>
      <w:r w:rsidR="00E21395" w:rsidRPr="00C82695">
        <w:rPr>
          <w:i/>
          <w:iCs/>
        </w:rPr>
        <w:t>, wie insbesondere die Veräußerung, die Verpachtung, die dauernde Belastung von Grundstücken des atypischen Gemeindegutes, die Begründung einer Dienstbarkeit oder eines Baurechtes, die Schotter- und Steinbruchnutzung oder die Ausübung des Jagdrechtes hierauf</w:t>
      </w:r>
      <w:r w:rsidR="00950126" w:rsidRPr="00C82695">
        <w:rPr>
          <w:i/>
          <w:iCs/>
        </w:rPr>
        <w:t>.</w:t>
      </w:r>
    </w:p>
    <w:p w14:paraId="3375CD61" w14:textId="5F48740E" w:rsidR="0013079D" w:rsidRPr="00FC37CF" w:rsidRDefault="0013079D" w:rsidP="00C82695">
      <w:pPr>
        <w:pStyle w:val="Listenabsatz"/>
        <w:spacing w:before="100" w:beforeAutospacing="1" w:after="0" w:line="276" w:lineRule="auto"/>
        <w:ind w:left="708"/>
        <w:rPr>
          <w:sz w:val="20"/>
          <w:szCs w:val="20"/>
        </w:rPr>
      </w:pPr>
      <w:r w:rsidRPr="00FC37CF">
        <w:rPr>
          <w:sz w:val="20"/>
          <w:szCs w:val="20"/>
          <w:u w:val="single"/>
        </w:rPr>
        <w:t>Anmerkung</w:t>
      </w:r>
      <w:r w:rsidRPr="00FC37CF">
        <w:rPr>
          <w:sz w:val="20"/>
          <w:szCs w:val="20"/>
        </w:rPr>
        <w:t>:</w:t>
      </w:r>
    </w:p>
    <w:p w14:paraId="764827C3" w14:textId="310090BA" w:rsidR="00950126" w:rsidRPr="00FC37CF" w:rsidRDefault="0013079D" w:rsidP="00C82695">
      <w:pPr>
        <w:pStyle w:val="Listenabsatz"/>
        <w:spacing w:after="180" w:line="276" w:lineRule="auto"/>
        <w:ind w:left="709"/>
        <w:contextualSpacing w:val="0"/>
        <w:rPr>
          <w:sz w:val="20"/>
          <w:szCs w:val="20"/>
        </w:rPr>
      </w:pPr>
      <w:r w:rsidRPr="00FC37CF">
        <w:rPr>
          <w:sz w:val="20"/>
          <w:szCs w:val="20"/>
        </w:rPr>
        <w:t xml:space="preserve">Da ein großer Teil der Bewirtschaftungskosten von der Gemeinde zu tragen ist, betreffen sämtliche Entscheidungen, die die Bewirtschaftung des Gemeindeguts </w:t>
      </w:r>
      <w:proofErr w:type="gramStart"/>
      <w:r w:rsidRPr="00FC37CF">
        <w:rPr>
          <w:sz w:val="20"/>
          <w:szCs w:val="20"/>
        </w:rPr>
        <w:t>betreffen,  auch</w:t>
      </w:r>
      <w:proofErr w:type="gramEnd"/>
      <w:r w:rsidRPr="00FC37CF">
        <w:rPr>
          <w:sz w:val="20"/>
          <w:szCs w:val="20"/>
        </w:rPr>
        <w:t xml:space="preserve"> den Substanzwert und fallen damit in den  Verantwortungsbereich des Substanzverwalters!</w:t>
      </w:r>
    </w:p>
    <w:p w14:paraId="0FACDA28" w14:textId="768C1D0F" w:rsidR="005B080B" w:rsidRPr="00C82695" w:rsidRDefault="005B080B" w:rsidP="00C82695">
      <w:pPr>
        <w:pStyle w:val="Listenabsatz"/>
        <w:numPr>
          <w:ilvl w:val="0"/>
          <w:numId w:val="9"/>
        </w:numPr>
        <w:spacing w:after="180" w:line="276" w:lineRule="auto"/>
        <w:ind w:left="357" w:hanging="357"/>
        <w:contextualSpacing w:val="0"/>
        <w:rPr>
          <w:i/>
          <w:iCs/>
        </w:rPr>
      </w:pPr>
      <w:r w:rsidRPr="00C82695">
        <w:rPr>
          <w:i/>
          <w:iCs/>
        </w:rPr>
        <w:t xml:space="preserve">Dem Substanzverwalter obliegen </w:t>
      </w:r>
      <w:r w:rsidR="00E21395" w:rsidRPr="00C82695">
        <w:rPr>
          <w:b/>
          <w:bCs/>
          <w:i/>
          <w:iCs/>
        </w:rPr>
        <w:t xml:space="preserve">alle Verfügungen über Substanzerlöse und den </w:t>
      </w:r>
      <w:proofErr w:type="spellStart"/>
      <w:r w:rsidR="00E21395" w:rsidRPr="00C82695">
        <w:rPr>
          <w:b/>
          <w:bCs/>
          <w:i/>
          <w:iCs/>
        </w:rPr>
        <w:t>Überling</w:t>
      </w:r>
      <w:proofErr w:type="spellEnd"/>
      <w:r w:rsidR="00E21395" w:rsidRPr="00C82695">
        <w:rPr>
          <w:i/>
          <w:iCs/>
        </w:rPr>
        <w:t>. Die Besorgung dieser Angelegenheiten umfasst auch die Wahrnehmung der dem Substanzverwalter im Rahmen der Finanzgebarung zugewiesenen Aufgaben. Der Substanzverwalter hat den Obmann regelmäßig über seine Verfügungen und Angelegenheiten, die ausschließlich den Substanzwert betreffen, zu informieren</w:t>
      </w:r>
      <w:r w:rsidRPr="00C82695">
        <w:rPr>
          <w:i/>
          <w:iCs/>
        </w:rPr>
        <w:t>.</w:t>
      </w:r>
    </w:p>
    <w:p w14:paraId="25C78A1D" w14:textId="7625CAB1" w:rsidR="005B080B" w:rsidRPr="00C82695" w:rsidRDefault="00E21395" w:rsidP="00C82695">
      <w:pPr>
        <w:pStyle w:val="Listenabsatz"/>
        <w:numPr>
          <w:ilvl w:val="1"/>
          <w:numId w:val="9"/>
        </w:numPr>
        <w:spacing w:after="180" w:line="276" w:lineRule="auto"/>
        <w:ind w:left="357" w:hanging="357"/>
        <w:contextualSpacing w:val="0"/>
        <w:rPr>
          <w:i/>
          <w:iCs/>
        </w:rPr>
      </w:pPr>
      <w:r w:rsidRPr="00C82695">
        <w:rPr>
          <w:i/>
          <w:iCs/>
        </w:rPr>
        <w:t>De</w:t>
      </w:r>
      <w:r w:rsidR="005B080B" w:rsidRPr="00C82695">
        <w:rPr>
          <w:i/>
          <w:iCs/>
        </w:rPr>
        <w:t>r</w:t>
      </w:r>
      <w:r w:rsidRPr="00C82695">
        <w:rPr>
          <w:i/>
          <w:iCs/>
        </w:rPr>
        <w:t xml:space="preserve"> Substanzverwalter </w:t>
      </w:r>
      <w:r w:rsidR="005B080B" w:rsidRPr="00C82695">
        <w:rPr>
          <w:i/>
          <w:iCs/>
        </w:rPr>
        <w:t>hat</w:t>
      </w:r>
      <w:r w:rsidRPr="00C82695">
        <w:rPr>
          <w:i/>
          <w:iCs/>
        </w:rPr>
        <w:t xml:space="preserve"> auf der Grundlage des Voranschlages die </w:t>
      </w:r>
      <w:r w:rsidRPr="00C82695">
        <w:rPr>
          <w:b/>
          <w:bCs/>
          <w:i/>
          <w:iCs/>
        </w:rPr>
        <w:t>laufende Gebarung der Einnahmen und Ausgaben der Agrargemeinschaft</w:t>
      </w:r>
      <w:r w:rsidRPr="00C82695">
        <w:rPr>
          <w:i/>
          <w:iCs/>
        </w:rPr>
        <w:t xml:space="preserve"> mit Ausnahme des Abrechnungskontos der Nutzungsberechtigten</w:t>
      </w:r>
      <w:r w:rsidR="005B080B" w:rsidRPr="00C82695">
        <w:rPr>
          <w:i/>
          <w:iCs/>
        </w:rPr>
        <w:t xml:space="preserve"> zu</w:t>
      </w:r>
      <w:r w:rsidR="00E041D2" w:rsidRPr="00C82695">
        <w:rPr>
          <w:i/>
          <w:iCs/>
        </w:rPr>
        <w:t xml:space="preserve"> führen</w:t>
      </w:r>
      <w:r w:rsidRPr="00C82695">
        <w:rPr>
          <w:i/>
          <w:iCs/>
        </w:rPr>
        <w:t xml:space="preserve">. Er hat für jedes </w:t>
      </w:r>
      <w:r w:rsidRPr="00C82695">
        <w:rPr>
          <w:i/>
          <w:iCs/>
          <w:u w:val="single"/>
        </w:rPr>
        <w:t>abgelaufene Kalenderjahr (Wirtschaftsjahr)</w:t>
      </w:r>
      <w:r w:rsidRPr="00C82695">
        <w:rPr>
          <w:i/>
          <w:iCs/>
        </w:rPr>
        <w:t xml:space="preserve"> die aus einer Vermögens- und einer Erfolgsübersicht bestehende </w:t>
      </w:r>
      <w:r w:rsidRPr="00C82695">
        <w:rPr>
          <w:b/>
          <w:bCs/>
          <w:i/>
          <w:iCs/>
        </w:rPr>
        <w:t>Jahresrechnung</w:t>
      </w:r>
      <w:r w:rsidRPr="00C82695">
        <w:rPr>
          <w:i/>
          <w:iCs/>
        </w:rPr>
        <w:t xml:space="preserve"> und für jedes </w:t>
      </w:r>
      <w:r w:rsidRPr="00C82695">
        <w:rPr>
          <w:i/>
          <w:iCs/>
          <w:u w:val="single"/>
        </w:rPr>
        <w:t>folgende Wirtschaftsjahr</w:t>
      </w:r>
      <w:r w:rsidRPr="00C82695">
        <w:rPr>
          <w:i/>
          <w:iCs/>
        </w:rPr>
        <w:t xml:space="preserve"> den aus einer </w:t>
      </w:r>
      <w:r w:rsidRPr="00C82695">
        <w:rPr>
          <w:b/>
          <w:bCs/>
          <w:i/>
          <w:iCs/>
        </w:rPr>
        <w:t>Erfolgsübersicht</w:t>
      </w:r>
      <w:r w:rsidRPr="00C82695">
        <w:rPr>
          <w:i/>
          <w:iCs/>
        </w:rPr>
        <w:t xml:space="preserve"> bestehenden </w:t>
      </w:r>
      <w:r w:rsidRPr="00C82695">
        <w:rPr>
          <w:b/>
          <w:bCs/>
          <w:i/>
          <w:iCs/>
        </w:rPr>
        <w:t>Voranschlag</w:t>
      </w:r>
      <w:r w:rsidRPr="00C82695">
        <w:rPr>
          <w:i/>
          <w:iCs/>
        </w:rPr>
        <w:t xml:space="preserve"> zu erstellen. </w:t>
      </w:r>
    </w:p>
    <w:p w14:paraId="73FDBF31" w14:textId="2D9D648F" w:rsidR="005B080B" w:rsidRPr="00C82695" w:rsidRDefault="00E21395" w:rsidP="00C82695">
      <w:pPr>
        <w:pStyle w:val="Listenabsatz"/>
        <w:numPr>
          <w:ilvl w:val="1"/>
          <w:numId w:val="9"/>
        </w:numPr>
        <w:spacing w:before="100" w:beforeAutospacing="1" w:after="120" w:line="276" w:lineRule="auto"/>
        <w:ind w:left="363" w:hanging="357"/>
        <w:contextualSpacing w:val="0"/>
        <w:rPr>
          <w:i/>
          <w:iCs/>
        </w:rPr>
      </w:pPr>
      <w:r w:rsidRPr="00C82695">
        <w:rPr>
          <w:i/>
          <w:iCs/>
        </w:rPr>
        <w:t xml:space="preserve">Der Substanzverwalter </w:t>
      </w:r>
      <w:r w:rsidRPr="00C82695">
        <w:rPr>
          <w:b/>
          <w:bCs/>
          <w:i/>
          <w:iCs/>
        </w:rPr>
        <w:t>vertritt die Agrargemeinschaft allein nach außen</w:t>
      </w:r>
      <w:r w:rsidRPr="00C82695">
        <w:rPr>
          <w:i/>
          <w:iCs/>
        </w:rPr>
        <w:t xml:space="preserve"> und ist zu allen </w:t>
      </w:r>
      <w:proofErr w:type="spellStart"/>
      <w:r w:rsidRPr="00C82695">
        <w:rPr>
          <w:i/>
          <w:iCs/>
        </w:rPr>
        <w:t>hiefür</w:t>
      </w:r>
      <w:proofErr w:type="spellEnd"/>
      <w:r w:rsidRPr="00C82695">
        <w:rPr>
          <w:i/>
          <w:iCs/>
        </w:rPr>
        <w:t xml:space="preserve"> erforderlichen </w:t>
      </w:r>
      <w:r w:rsidRPr="00C82695">
        <w:rPr>
          <w:b/>
          <w:bCs/>
          <w:i/>
          <w:iCs/>
        </w:rPr>
        <w:t>Vertretungshandlungen</w:t>
      </w:r>
      <w:r w:rsidRPr="00C82695">
        <w:rPr>
          <w:i/>
          <w:iCs/>
        </w:rPr>
        <w:t xml:space="preserve"> in nachfolgenden Angelegenheiten befugt: </w:t>
      </w:r>
    </w:p>
    <w:p w14:paraId="1582F3FB" w14:textId="77777777" w:rsidR="00E21395" w:rsidRPr="00C82695" w:rsidRDefault="00E21395" w:rsidP="00C82695">
      <w:pPr>
        <w:pStyle w:val="Listenabsatz"/>
        <w:numPr>
          <w:ilvl w:val="2"/>
          <w:numId w:val="11"/>
        </w:numPr>
        <w:spacing w:after="60" w:line="240" w:lineRule="auto"/>
        <w:ind w:left="1083" w:hanging="357"/>
        <w:contextualSpacing w:val="0"/>
        <w:rPr>
          <w:i/>
          <w:iCs/>
        </w:rPr>
      </w:pPr>
      <w:r w:rsidRPr="00C82695">
        <w:rPr>
          <w:i/>
          <w:iCs/>
        </w:rPr>
        <w:t xml:space="preserve">in Angelegenheiten, die ausschließlich den Substanzwert betreffen, und </w:t>
      </w:r>
    </w:p>
    <w:p w14:paraId="5BD6AE70" w14:textId="77777777" w:rsidR="00E21395" w:rsidRPr="00C82695" w:rsidRDefault="00E21395" w:rsidP="00296F58">
      <w:pPr>
        <w:pStyle w:val="Listenabsatz"/>
        <w:numPr>
          <w:ilvl w:val="2"/>
          <w:numId w:val="11"/>
        </w:numPr>
        <w:spacing w:before="100" w:beforeAutospacing="1" w:after="60" w:line="240" w:lineRule="auto"/>
        <w:ind w:left="1080" w:hanging="357"/>
        <w:contextualSpacing w:val="0"/>
        <w:rPr>
          <w:i/>
          <w:iCs/>
        </w:rPr>
      </w:pPr>
      <w:r w:rsidRPr="00C82695">
        <w:rPr>
          <w:i/>
          <w:iCs/>
        </w:rPr>
        <w:t xml:space="preserve">in Angelegenheiten, die sowohl den Substanzwert als auch die land- und forstwirtschaftlichen Nutzungsrechte betreffen, diesfalls jedoch nur im Rahmen entsprechender Beschlüsse des Ausschusses bzw. der Vollversammlung; </w:t>
      </w:r>
    </w:p>
    <w:p w14:paraId="55EED8C0" w14:textId="4B4066AC" w:rsidR="00E21395" w:rsidRPr="00C82695" w:rsidRDefault="00E041D2" w:rsidP="00296F58">
      <w:pPr>
        <w:pStyle w:val="Listenabsatz"/>
        <w:numPr>
          <w:ilvl w:val="2"/>
          <w:numId w:val="11"/>
        </w:numPr>
        <w:spacing w:before="100" w:beforeAutospacing="1" w:after="60" w:line="240" w:lineRule="auto"/>
        <w:ind w:left="1080" w:hanging="357"/>
        <w:contextualSpacing w:val="0"/>
        <w:rPr>
          <w:i/>
          <w:iCs/>
        </w:rPr>
      </w:pPr>
      <w:r w:rsidRPr="00C82695">
        <w:rPr>
          <w:i/>
          <w:iCs/>
        </w:rPr>
        <w:t>B</w:t>
      </w:r>
      <w:r w:rsidR="00E21395" w:rsidRPr="00C82695">
        <w:rPr>
          <w:i/>
          <w:iCs/>
        </w:rPr>
        <w:t xml:space="preserve">ei Gefahr in Verzug kann der Substanzverwalter </w:t>
      </w:r>
      <w:proofErr w:type="gramStart"/>
      <w:r w:rsidR="00E21395" w:rsidRPr="00C82695">
        <w:rPr>
          <w:i/>
          <w:iCs/>
        </w:rPr>
        <w:t>alleine</w:t>
      </w:r>
      <w:proofErr w:type="gramEnd"/>
      <w:r w:rsidR="00E21395" w:rsidRPr="00C82695">
        <w:rPr>
          <w:i/>
          <w:iCs/>
        </w:rPr>
        <w:t xml:space="preserve"> entscheiden und die erforderlichen Maßnahmen setzen. Die Entscheidung ist ohne unnötigen Aufschub der Vollversammlung bzw. dem Ausschuss zur nachträglichen Beschlussfassung vorzulegen.</w:t>
      </w:r>
    </w:p>
    <w:p w14:paraId="46FE2454" w14:textId="77777777" w:rsidR="00E21395" w:rsidRPr="00C82695" w:rsidRDefault="00E21395" w:rsidP="00296F58">
      <w:pPr>
        <w:pStyle w:val="Listenabsatz"/>
        <w:numPr>
          <w:ilvl w:val="2"/>
          <w:numId w:val="11"/>
        </w:numPr>
        <w:spacing w:before="100" w:beforeAutospacing="1" w:after="100" w:afterAutospacing="1" w:line="240" w:lineRule="auto"/>
        <w:ind w:left="1080"/>
        <w:rPr>
          <w:i/>
          <w:iCs/>
        </w:rPr>
      </w:pPr>
      <w:r w:rsidRPr="00C82695">
        <w:rPr>
          <w:i/>
          <w:iCs/>
        </w:rPr>
        <w:t>Der Substanzverwalter vertritt die substanzberechtigte Gemeinde in der Vollversammlung und im Ausschuss, zu deren Sitzungen er beizuziehen ist.</w:t>
      </w:r>
    </w:p>
    <w:p w14:paraId="1EC4778B" w14:textId="55F06808" w:rsidR="00E21395" w:rsidRPr="00C82695" w:rsidRDefault="009B590F" w:rsidP="00C82695">
      <w:pPr>
        <w:spacing w:after="180" w:line="276" w:lineRule="auto"/>
        <w:rPr>
          <w:rFonts w:eastAsia="Times New Roman" w:cstheme="minorHAnsi"/>
        </w:rPr>
      </w:pPr>
      <w:r w:rsidRPr="00C82695">
        <w:rPr>
          <w:rFonts w:eastAsia="Times New Roman" w:cstheme="minorHAnsi"/>
        </w:rPr>
        <w:lastRenderedPageBreak/>
        <w:t>Die</w:t>
      </w:r>
      <w:r w:rsidR="00E21395" w:rsidRPr="00C82695">
        <w:rPr>
          <w:rFonts w:eastAsia="Times New Roman" w:cstheme="minorHAnsi"/>
        </w:rPr>
        <w:t xml:space="preserve"> </w:t>
      </w:r>
      <w:r w:rsidR="00E041D2" w:rsidRPr="00C82695">
        <w:rPr>
          <w:rFonts w:eastAsia="Times New Roman" w:cstheme="minorHAnsi"/>
        </w:rPr>
        <w:t xml:space="preserve">(unübersichtliche) </w:t>
      </w:r>
      <w:r w:rsidRPr="00C82695">
        <w:rPr>
          <w:rFonts w:eastAsia="Times New Roman" w:cstheme="minorHAnsi"/>
        </w:rPr>
        <w:t>Vielzahl</w:t>
      </w:r>
      <w:r w:rsidR="00E21395" w:rsidRPr="00C82695">
        <w:rPr>
          <w:rFonts w:eastAsia="Times New Roman" w:cstheme="minorHAnsi"/>
        </w:rPr>
        <w:t xml:space="preserve"> </w:t>
      </w:r>
      <w:r w:rsidRPr="00C82695">
        <w:rPr>
          <w:rFonts w:eastAsia="Times New Roman" w:cstheme="minorHAnsi"/>
        </w:rPr>
        <w:t xml:space="preserve">und der Inhalt </w:t>
      </w:r>
      <w:r w:rsidR="0013079D" w:rsidRPr="00C82695">
        <w:rPr>
          <w:rFonts w:eastAsia="Times New Roman" w:cstheme="minorHAnsi"/>
        </w:rPr>
        <w:t>dieser</w:t>
      </w:r>
      <w:r w:rsidR="00E21395" w:rsidRPr="00C82695">
        <w:rPr>
          <w:rFonts w:eastAsia="Times New Roman" w:cstheme="minorHAnsi"/>
        </w:rPr>
        <w:t xml:space="preserve"> dem Substanzverwalter zugeordneten Agenden zeigt, dass er bei pflichtgemäßer Ausübung seiner Aufgaben in einem nicht zu über</w:t>
      </w:r>
      <w:r w:rsidR="004C770D" w:rsidRPr="00C82695">
        <w:rPr>
          <w:rFonts w:eastAsia="Times New Roman" w:cstheme="minorHAnsi"/>
        </w:rPr>
        <w:softHyphen/>
      </w:r>
      <w:r w:rsidR="00E21395" w:rsidRPr="00C82695">
        <w:rPr>
          <w:rFonts w:eastAsia="Times New Roman" w:cstheme="minorHAnsi"/>
        </w:rPr>
        <w:t xml:space="preserve">sehenden, kaum bewältigbaren </w:t>
      </w:r>
      <w:r w:rsidR="00E21395" w:rsidRPr="00C82695">
        <w:rPr>
          <w:rFonts w:eastAsia="Times New Roman" w:cstheme="minorHAnsi"/>
          <w:b/>
          <w:bCs/>
        </w:rPr>
        <w:t>Spannungsfeld und Interessen</w:t>
      </w:r>
      <w:r w:rsidR="0013079D" w:rsidRPr="00C82695">
        <w:rPr>
          <w:rFonts w:eastAsia="Times New Roman" w:cstheme="minorHAnsi"/>
          <w:b/>
          <w:bCs/>
        </w:rPr>
        <w:t>s</w:t>
      </w:r>
      <w:r w:rsidR="00E21395" w:rsidRPr="00C82695">
        <w:rPr>
          <w:rFonts w:eastAsia="Times New Roman" w:cstheme="minorHAnsi"/>
          <w:b/>
          <w:bCs/>
        </w:rPr>
        <w:t>konflikt</w:t>
      </w:r>
      <w:r w:rsidR="00E21395" w:rsidRPr="00C82695">
        <w:rPr>
          <w:rFonts w:eastAsia="Times New Roman" w:cstheme="minorHAnsi"/>
        </w:rPr>
        <w:t xml:space="preserve"> steht. </w:t>
      </w:r>
    </w:p>
    <w:p w14:paraId="722ADED8" w14:textId="31026D24" w:rsidR="00E21395" w:rsidRPr="00C82695" w:rsidRDefault="00E21395" w:rsidP="00C82695">
      <w:pPr>
        <w:spacing w:after="180" w:line="276" w:lineRule="auto"/>
      </w:pPr>
      <w:r w:rsidRPr="00C82695">
        <w:rPr>
          <w:rFonts w:eastAsia="Times New Roman" w:cstheme="minorHAnsi"/>
        </w:rPr>
        <w:t xml:space="preserve">Hinzu tritt, dass </w:t>
      </w:r>
      <w:r w:rsidRPr="00C82695">
        <w:t>die Substanzverwalter fast immer eine „große Nähe“ zur Agrar</w:t>
      </w:r>
      <w:r w:rsidRPr="00C82695">
        <w:softHyphen/>
        <w:t xml:space="preserve">gemeinschaft aufweisen; oft sind sie selbst auch deren Mitglieder. Aus diesem Umstand folgt zwangsläufig der Vorwurf einer </w:t>
      </w:r>
      <w:r w:rsidRPr="00C82695">
        <w:rPr>
          <w:b/>
          <w:bCs/>
        </w:rPr>
        <w:t>Befangenheit des Substanzverwalters</w:t>
      </w:r>
      <w:r w:rsidRPr="00C82695">
        <w:t xml:space="preserve">; jedenfalls ist der aufrechte Bestand des Anscheins </w:t>
      </w:r>
      <w:r w:rsidR="0013079D" w:rsidRPr="00C82695">
        <w:t>s</w:t>
      </w:r>
      <w:r w:rsidRPr="00C82695">
        <w:t>einer Befangenheit in aller Regel kaum zu entkräften.</w:t>
      </w:r>
    </w:p>
    <w:p w14:paraId="71B3EC04" w14:textId="403B8979" w:rsidR="00E21395" w:rsidRPr="00C82695" w:rsidRDefault="00E21395" w:rsidP="00C82695">
      <w:pPr>
        <w:spacing w:after="180" w:line="276" w:lineRule="auto"/>
        <w:rPr>
          <w:rFonts w:eastAsia="Times New Roman" w:cstheme="minorHAnsi"/>
        </w:rPr>
      </w:pPr>
      <w:r w:rsidRPr="00C82695">
        <w:t xml:space="preserve">Auch stellt die Summe der </w:t>
      </w:r>
      <w:r w:rsidRPr="00C82695">
        <w:rPr>
          <w:b/>
          <w:bCs/>
        </w:rPr>
        <w:t>Agrarmitglieder</w:t>
      </w:r>
      <w:r w:rsidRPr="00C82695">
        <w:t xml:space="preserve"> eine nicht zu unterschätzende </w:t>
      </w:r>
      <w:r w:rsidR="001D7AC6" w:rsidRPr="00C82695">
        <w:rPr>
          <w:b/>
          <w:bCs/>
        </w:rPr>
        <w:t>Wählergruppe</w:t>
      </w:r>
      <w:r w:rsidRPr="00C82695">
        <w:t xml:space="preserve"> in</w:t>
      </w:r>
      <w:r w:rsidR="00E041D2" w:rsidRPr="00C82695">
        <w:t xml:space="preserve"> der Gemeinde </w:t>
      </w:r>
      <w:r w:rsidRPr="00C82695">
        <w:t>dar; dieser Umstand ist von Interesse, da der Substanzverwalter qua Gesetz Mitglied des Gemeinderat</w:t>
      </w:r>
      <w:r w:rsidR="005B080B" w:rsidRPr="00C82695">
        <w:t xml:space="preserve">es </w:t>
      </w:r>
      <w:r w:rsidRPr="00C82695">
        <w:t>sein muss.</w:t>
      </w:r>
    </w:p>
    <w:p w14:paraId="664771F1" w14:textId="03E1527D" w:rsidR="001D7AC6" w:rsidRPr="00C82695" w:rsidRDefault="00E21395" w:rsidP="00C82695">
      <w:pPr>
        <w:spacing w:after="240" w:line="276" w:lineRule="auto"/>
      </w:pPr>
      <w:r w:rsidRPr="00C82695">
        <w:t xml:space="preserve">Schließlich </w:t>
      </w:r>
      <w:r w:rsidR="002E1B6B" w:rsidRPr="00C82695">
        <w:t>kann</w:t>
      </w:r>
      <w:r w:rsidRPr="00C82695">
        <w:t xml:space="preserve"> der </w:t>
      </w:r>
      <w:r w:rsidRPr="00C82695">
        <w:rPr>
          <w:b/>
          <w:bCs/>
        </w:rPr>
        <w:t>Kostenfaktor</w:t>
      </w:r>
      <w:r w:rsidRPr="00C82695">
        <w:t xml:space="preserve"> nicht </w:t>
      </w:r>
      <w:r w:rsidR="002E1B6B" w:rsidRPr="00C82695">
        <w:t>ü</w:t>
      </w:r>
      <w:r w:rsidRPr="00C82695">
        <w:t>bersehen</w:t>
      </w:r>
      <w:r w:rsidR="002E1B6B" w:rsidRPr="00C82695">
        <w:t xml:space="preserve"> werden</w:t>
      </w:r>
      <w:r w:rsidRPr="00C82695">
        <w:t>, ist doch der Substanzverwalter mit dem Bezug des Vizebürgermeisters zu entlohnen</w:t>
      </w:r>
      <w:r w:rsidR="002E1B6B" w:rsidRPr="00C82695">
        <w:t xml:space="preserve">, </w:t>
      </w:r>
      <w:r w:rsidRPr="00C82695">
        <w:t>Kosten</w:t>
      </w:r>
      <w:r w:rsidR="002E1B6B" w:rsidRPr="00C82695">
        <w:t xml:space="preserve">, die </w:t>
      </w:r>
      <w:r w:rsidR="005B080B" w:rsidRPr="00C82695">
        <w:t xml:space="preserve">wiederum </w:t>
      </w:r>
      <w:r w:rsidRPr="00C82695">
        <w:t>von der Gemeinde zu tragen</w:t>
      </w:r>
      <w:r w:rsidR="002E1B6B" w:rsidRPr="00C82695">
        <w:t xml:space="preserve"> sind</w:t>
      </w:r>
      <w:r w:rsidRPr="00C82695">
        <w:t xml:space="preserve">! </w:t>
      </w:r>
    </w:p>
    <w:tbl>
      <w:tblPr>
        <w:tblStyle w:val="Tabellenraster"/>
        <w:tblW w:w="0" w:type="auto"/>
        <w:tblInd w:w="108" w:type="dxa"/>
        <w:tblLook w:val="04A0" w:firstRow="1" w:lastRow="0" w:firstColumn="1" w:lastColumn="0" w:noHBand="0" w:noVBand="1"/>
      </w:tblPr>
      <w:tblGrid>
        <w:gridCol w:w="9104"/>
      </w:tblGrid>
      <w:tr w:rsidR="001A25BD" w14:paraId="0279F037" w14:textId="77777777" w:rsidTr="00FC37CF">
        <w:trPr>
          <w:trHeight w:val="1182"/>
        </w:trPr>
        <w:tc>
          <w:tcPr>
            <w:tcW w:w="9104" w:type="dxa"/>
          </w:tcPr>
          <w:p w14:paraId="19DE5BF1" w14:textId="3B448F6A" w:rsidR="001A25BD" w:rsidRPr="00FC37CF" w:rsidRDefault="001A25BD" w:rsidP="00FC37CF">
            <w:pPr>
              <w:shd w:val="clear" w:color="auto" w:fill="E7E6E6" w:themeFill="background2"/>
              <w:spacing w:after="0" w:line="276" w:lineRule="auto"/>
              <w:jc w:val="both"/>
            </w:pPr>
            <w:r w:rsidRPr="00FC37CF">
              <w:t xml:space="preserve">Die aufgezeigten Umstände machen deutlich, dass das </w:t>
            </w:r>
            <w:r w:rsidRPr="00FC37CF">
              <w:rPr>
                <w:b/>
                <w:bCs/>
              </w:rPr>
              <w:t>Ziel</w:t>
            </w:r>
            <w:r w:rsidRPr="00FC37CF">
              <w:t>, mit der neu eingeführten Funk</w:t>
            </w:r>
            <w:r w:rsidR="004C770D" w:rsidRPr="00FC37CF">
              <w:softHyphen/>
            </w:r>
            <w:r w:rsidRPr="00FC37CF">
              <w:t xml:space="preserve">tion des Substanzverwalters die </w:t>
            </w:r>
            <w:r w:rsidRPr="00FC37CF">
              <w:rPr>
                <w:u w:val="single"/>
              </w:rPr>
              <w:t>Durchsetzung der Ansprüche der substanz</w:t>
            </w:r>
            <w:r w:rsidR="00C50BBA" w:rsidRPr="00FC37CF">
              <w:rPr>
                <w:u w:val="single"/>
              </w:rPr>
              <w:softHyphen/>
            </w:r>
            <w:r w:rsidRPr="00FC37CF">
              <w:rPr>
                <w:u w:val="single"/>
              </w:rPr>
              <w:t>berechtigten Gemeinde</w:t>
            </w:r>
            <w:r w:rsidRPr="00FC37CF">
              <w:t xml:space="preserve"> und der </w:t>
            </w:r>
            <w:r w:rsidRPr="00FC37CF">
              <w:rPr>
                <w:u w:val="single"/>
              </w:rPr>
              <w:t>Stär</w:t>
            </w:r>
            <w:r w:rsidR="00FC37CF">
              <w:rPr>
                <w:u w:val="single"/>
              </w:rPr>
              <w:softHyphen/>
            </w:r>
            <w:r w:rsidRPr="00FC37CF">
              <w:rPr>
                <w:u w:val="single"/>
              </w:rPr>
              <w:t>kung ihrer Rechtsposition gegenüber der Agrargemeinschaft</w:t>
            </w:r>
            <w:r w:rsidRPr="00FC37CF">
              <w:t xml:space="preserve"> sicher</w:t>
            </w:r>
            <w:r w:rsidR="004C770D" w:rsidRPr="00FC37CF">
              <w:softHyphen/>
            </w:r>
            <w:r w:rsidRPr="00FC37CF">
              <w:t xml:space="preserve">zustellen, </w:t>
            </w:r>
            <w:r w:rsidRPr="00FC37CF">
              <w:rPr>
                <w:b/>
                <w:bCs/>
              </w:rPr>
              <w:t>klar verfehlt</w:t>
            </w:r>
            <w:r w:rsidRPr="00FC37CF">
              <w:t xml:space="preserve"> wurde. </w:t>
            </w:r>
          </w:p>
        </w:tc>
      </w:tr>
    </w:tbl>
    <w:p w14:paraId="5A56C90A" w14:textId="77777777" w:rsidR="001A25BD" w:rsidRPr="000C4973" w:rsidRDefault="001A25BD" w:rsidP="00E21395">
      <w:pPr>
        <w:jc w:val="both"/>
        <w:rPr>
          <w:sz w:val="24"/>
          <w:szCs w:val="24"/>
        </w:rPr>
      </w:pPr>
    </w:p>
    <w:p w14:paraId="48D6857C" w14:textId="2CE9B1B9" w:rsidR="002F232F" w:rsidRPr="00C82695" w:rsidRDefault="00D23AB4" w:rsidP="00C82695">
      <w:pPr>
        <w:pStyle w:val="Listenabsatz"/>
        <w:numPr>
          <w:ilvl w:val="0"/>
          <w:numId w:val="13"/>
        </w:numPr>
        <w:spacing w:after="240"/>
        <w:ind w:left="357" w:hanging="357"/>
        <w:contextualSpacing w:val="0"/>
        <w:jc w:val="both"/>
        <w:rPr>
          <w:b/>
          <w:bCs/>
          <w:sz w:val="26"/>
          <w:szCs w:val="26"/>
        </w:rPr>
      </w:pPr>
      <w:r w:rsidRPr="00C82695">
        <w:rPr>
          <w:b/>
          <w:bCs/>
          <w:sz w:val="26"/>
          <w:szCs w:val="26"/>
        </w:rPr>
        <w:t>Die</w:t>
      </w:r>
      <w:r w:rsidR="001D7AC6" w:rsidRPr="00C82695">
        <w:rPr>
          <w:b/>
          <w:bCs/>
          <w:sz w:val="26"/>
          <w:szCs w:val="26"/>
        </w:rPr>
        <w:t xml:space="preserve"> Bedarfsprüfung</w:t>
      </w:r>
      <w:r w:rsidRPr="00C82695">
        <w:rPr>
          <w:b/>
          <w:bCs/>
          <w:sz w:val="26"/>
          <w:szCs w:val="26"/>
        </w:rPr>
        <w:t xml:space="preserve"> – eine </w:t>
      </w:r>
      <w:r w:rsidR="00A95D31" w:rsidRPr="00C82695">
        <w:rPr>
          <w:b/>
          <w:bCs/>
          <w:sz w:val="26"/>
          <w:szCs w:val="26"/>
        </w:rPr>
        <w:t xml:space="preserve">vom Substanzverwalter </w:t>
      </w:r>
      <w:r w:rsidRPr="00C82695">
        <w:rPr>
          <w:b/>
          <w:bCs/>
          <w:sz w:val="26"/>
          <w:szCs w:val="26"/>
        </w:rPr>
        <w:t>oft vernachlässigte Prüfpflicht</w:t>
      </w:r>
    </w:p>
    <w:p w14:paraId="5DD79504" w14:textId="33F85174" w:rsidR="00E21395" w:rsidRPr="00FC37CF" w:rsidRDefault="00C82695" w:rsidP="004C770D">
      <w:pPr>
        <w:spacing w:before="240" w:line="276" w:lineRule="auto"/>
      </w:pPr>
      <w:r w:rsidRPr="00FC37CF">
        <w:t>Gemäß gesicherter Rechtsprechung des Verfassungs</w:t>
      </w:r>
      <w:r w:rsidRPr="00FC37CF">
        <w:softHyphen/>
        <w:t xml:space="preserve">gerichtshofs </w:t>
      </w:r>
      <w:r w:rsidR="001F37EC" w:rsidRPr="00FC37CF">
        <w:t>steht d</w:t>
      </w:r>
      <w:r w:rsidR="00E21395" w:rsidRPr="00FC37CF">
        <w:t>en Nutzungs</w:t>
      </w:r>
      <w:r w:rsidR="001F37EC" w:rsidRPr="00FC37CF">
        <w:softHyphen/>
      </w:r>
      <w:r w:rsidR="00E21395" w:rsidRPr="00FC37CF">
        <w:t xml:space="preserve">berechtigten </w:t>
      </w:r>
      <w:r w:rsidR="00D23AB4" w:rsidRPr="00FC37CF">
        <w:t xml:space="preserve">gemäß § 70 Abs 2 erster Satz TGO </w:t>
      </w:r>
      <w:r w:rsidR="00E21395" w:rsidRPr="00FC37CF">
        <w:t xml:space="preserve">lediglich der konkrete Haus- und Gutsbedarf zu.  Diese gesetzliche Beschränkung des Nutzungsumfangs führt zur Notwendigkeit, den jährlichen </w:t>
      </w:r>
      <w:proofErr w:type="gramStart"/>
      <w:r w:rsidR="00E21395" w:rsidRPr="00FC37CF">
        <w:t>Bedarf  der</w:t>
      </w:r>
      <w:proofErr w:type="gramEnd"/>
      <w:r w:rsidR="00E21395" w:rsidRPr="00FC37CF">
        <w:t xml:space="preserve"> agrargemein</w:t>
      </w:r>
      <w:r w:rsidR="00E21395" w:rsidRPr="00FC37CF">
        <w:softHyphen/>
        <w:t>schaftlich organisierten Nutzungsberechtigten</w:t>
      </w:r>
      <w:r w:rsidR="001F37EC" w:rsidRPr="00FC37CF">
        <w:t xml:space="preserve"> (z.B. an Nutzholz oder Brennholz)</w:t>
      </w:r>
      <w:r w:rsidR="00E21395" w:rsidRPr="00FC37CF">
        <w:t xml:space="preserve">  zu kontrollieren und zu bestätigen.  Diese </w:t>
      </w:r>
      <w:r w:rsidR="00E21395" w:rsidRPr="00FC37CF">
        <w:rPr>
          <w:b/>
          <w:bCs/>
        </w:rPr>
        <w:t>Bedarfsprüfung</w:t>
      </w:r>
      <w:r w:rsidR="00E21395" w:rsidRPr="00FC37CF">
        <w:t xml:space="preserve"> stellt eine sogenannte „gemischte Angelegenheit“ im Sinne des § 36c Abs 4 TFLG 1996 dar, die </w:t>
      </w:r>
      <w:r w:rsidR="00E21395" w:rsidRPr="00FC37CF">
        <w:rPr>
          <w:rFonts w:eastAsia="Times New Roman" w:cstheme="minorHAnsi"/>
        </w:rPr>
        <w:t>vom</w:t>
      </w:r>
      <w:r w:rsidR="00E21395" w:rsidRPr="00FC37CF">
        <w:rPr>
          <w:rFonts w:eastAsia="Times New Roman" w:cstheme="minorHAnsi"/>
          <w:b/>
          <w:bCs/>
        </w:rPr>
        <w:t xml:space="preserve"> Obmann der Agrar</w:t>
      </w:r>
      <w:r w:rsidR="00E21395" w:rsidRPr="00FC37CF">
        <w:rPr>
          <w:rFonts w:eastAsia="Times New Roman" w:cstheme="minorHAnsi"/>
          <w:b/>
          <w:bCs/>
        </w:rPr>
        <w:softHyphen/>
        <w:t>gemeinschaft gemeinsam mit dem Substanzverwalter</w:t>
      </w:r>
      <w:r w:rsidR="00E21395" w:rsidRPr="00FC37CF">
        <w:rPr>
          <w:rFonts w:eastAsia="Times New Roman" w:cstheme="minorHAnsi"/>
        </w:rPr>
        <w:t xml:space="preserve"> vorzu</w:t>
      </w:r>
      <w:r w:rsidR="004C770D" w:rsidRPr="00FC37CF">
        <w:rPr>
          <w:rFonts w:eastAsia="Times New Roman" w:cstheme="minorHAnsi"/>
        </w:rPr>
        <w:softHyphen/>
      </w:r>
      <w:r w:rsidR="00E21395" w:rsidRPr="00FC37CF">
        <w:rPr>
          <w:rFonts w:eastAsia="Times New Roman" w:cstheme="minorHAnsi"/>
        </w:rPr>
        <w:t>neh</w:t>
      </w:r>
      <w:r w:rsidR="004C770D" w:rsidRPr="00FC37CF">
        <w:rPr>
          <w:rFonts w:eastAsia="Times New Roman" w:cstheme="minorHAnsi"/>
        </w:rPr>
        <w:softHyphen/>
      </w:r>
      <w:r w:rsidR="00E21395" w:rsidRPr="00FC37CF">
        <w:rPr>
          <w:rFonts w:eastAsia="Times New Roman" w:cstheme="minorHAnsi"/>
        </w:rPr>
        <w:t xml:space="preserve">men ist (siehe dazu </w:t>
      </w:r>
      <w:hyperlink r:id="rId8" w:history="1">
        <w:r w:rsidR="00E21395" w:rsidRPr="00CC64E7">
          <w:rPr>
            <w:rStyle w:val="Hyperlink"/>
            <w:rFonts w:eastAsia="Times New Roman" w:cstheme="minorHAnsi"/>
          </w:rPr>
          <w:t>Anweisung des A</w:t>
        </w:r>
        <w:r w:rsidR="00015209" w:rsidRPr="00CC64E7">
          <w:rPr>
            <w:rStyle w:val="Hyperlink"/>
            <w:rFonts w:eastAsia="Times New Roman" w:cstheme="minorHAnsi"/>
          </w:rPr>
          <w:t xml:space="preserve">mtes der </w:t>
        </w:r>
        <w:proofErr w:type="spellStart"/>
        <w:r w:rsidR="00015209" w:rsidRPr="00CC64E7">
          <w:rPr>
            <w:rStyle w:val="Hyperlink"/>
            <w:rFonts w:eastAsia="Times New Roman" w:cstheme="minorHAnsi"/>
          </w:rPr>
          <w:t>Tir.L</w:t>
        </w:r>
        <w:r w:rsidR="00E21395" w:rsidRPr="00CC64E7">
          <w:rPr>
            <w:rStyle w:val="Hyperlink"/>
            <w:rFonts w:eastAsia="Times New Roman" w:cstheme="minorHAnsi"/>
          </w:rPr>
          <w:t>Reg</w:t>
        </w:r>
        <w:proofErr w:type="spellEnd"/>
        <w:r w:rsidR="00E21395" w:rsidRPr="00CC64E7">
          <w:rPr>
            <w:rStyle w:val="Hyperlink"/>
            <w:rFonts w:eastAsia="Times New Roman" w:cstheme="minorHAnsi"/>
          </w:rPr>
          <w:t>/Abteilung Agrargemeinschaften zur Bedarfsprüfung</w:t>
        </w:r>
      </w:hyperlink>
      <w:r w:rsidR="00E21395" w:rsidRPr="00FC37CF">
        <w:rPr>
          <w:rFonts w:eastAsia="Times New Roman" w:cstheme="minorHAnsi"/>
          <w:b/>
          <w:bCs/>
        </w:rPr>
        <w:t>).</w:t>
      </w:r>
    </w:p>
    <w:p w14:paraId="41C9D38D" w14:textId="6CA3DB59" w:rsidR="00DE3B6F" w:rsidRPr="00FC37CF" w:rsidRDefault="00E21395" w:rsidP="00296F58">
      <w:pPr>
        <w:pStyle w:val="Listenabsatz"/>
        <w:numPr>
          <w:ilvl w:val="0"/>
          <w:numId w:val="10"/>
        </w:numPr>
        <w:spacing w:after="120"/>
        <w:ind w:left="357" w:hanging="357"/>
        <w:contextualSpacing w:val="0"/>
      </w:pPr>
      <w:r w:rsidRPr="00FC37CF">
        <w:t>Derartige gesetzlich verpflichtend vorgesehene und sachlich höchst notwendige Bedarfs</w:t>
      </w:r>
      <w:r w:rsidR="00296F58" w:rsidRPr="00FC37CF">
        <w:softHyphen/>
      </w:r>
      <w:r w:rsidRPr="00FC37CF">
        <w:t xml:space="preserve">prüfungen werden jedoch nur in wenigen </w:t>
      </w:r>
      <w:r w:rsidR="001F37EC" w:rsidRPr="00FC37CF">
        <w:t xml:space="preserve">Tiroler </w:t>
      </w:r>
      <w:r w:rsidRPr="00FC37CF">
        <w:t>Gemeinden durchgeführt. In der weit</w:t>
      </w:r>
      <w:r w:rsidR="001F37EC" w:rsidRPr="00FC37CF">
        <w:softHyphen/>
      </w:r>
      <w:r w:rsidRPr="00FC37CF">
        <w:t xml:space="preserve">aus überwiegenden Zahl </w:t>
      </w:r>
      <w:r w:rsidR="00D23AB4" w:rsidRPr="00FC37CF">
        <w:t>der „Agrargemeinschaften auf Gemeindegut“ – also sowohl von „typischen“ Agrargemeinschaften als auch von Gemeindeguts</w:t>
      </w:r>
      <w:r w:rsidR="001A25BD" w:rsidRPr="00FC37CF">
        <w:softHyphen/>
      </w:r>
      <w:r w:rsidR="00D23AB4" w:rsidRPr="00FC37CF">
        <w:t>agrar</w:t>
      </w:r>
      <w:r w:rsidR="00DE3B6F" w:rsidRPr="00FC37CF">
        <w:softHyphen/>
      </w:r>
      <w:r w:rsidR="00D23AB4" w:rsidRPr="00FC37CF">
        <w:t>gemeinschaften (also „atypischen“ Ag</w:t>
      </w:r>
      <w:r w:rsidR="00296F58" w:rsidRPr="00FC37CF">
        <w:t>rar</w:t>
      </w:r>
      <w:r w:rsidR="00D23AB4" w:rsidRPr="00FC37CF">
        <w:t xml:space="preserve">gemeinschaften) - </w:t>
      </w:r>
      <w:r w:rsidRPr="00FC37CF">
        <w:t xml:space="preserve">werden vielmehr die Holzbezüge nach </w:t>
      </w:r>
      <w:r w:rsidR="00125FAF" w:rsidRPr="00FC37CF">
        <w:t>den Vor</w:t>
      </w:r>
      <w:r w:rsidR="00296F58" w:rsidRPr="00FC37CF">
        <w:softHyphen/>
      </w:r>
      <w:r w:rsidR="00125FAF" w:rsidRPr="00FC37CF">
        <w:t xml:space="preserve">gaben des von der Agrarbehörde für die Agrargemeinschaften </w:t>
      </w:r>
      <w:r w:rsidR="00623352" w:rsidRPr="00FC37CF">
        <w:t xml:space="preserve">verfassungswidrig </w:t>
      </w:r>
      <w:r w:rsidR="00125FAF" w:rsidRPr="00FC37CF">
        <w:t>erlas</w:t>
      </w:r>
      <w:r w:rsidR="00296F58" w:rsidRPr="00FC37CF">
        <w:softHyphen/>
      </w:r>
      <w:r w:rsidR="00125FAF" w:rsidRPr="00FC37CF">
        <w:t xml:space="preserve">senen </w:t>
      </w:r>
      <w:r w:rsidR="008074CC" w:rsidRPr="00FC37CF">
        <w:t xml:space="preserve">(alten) </w:t>
      </w:r>
      <w:r w:rsidR="00125FAF" w:rsidRPr="00FC37CF">
        <w:t xml:space="preserve">Regulierungsplans </w:t>
      </w:r>
      <w:r w:rsidR="00F97C6E" w:rsidRPr="00FC37CF">
        <w:t xml:space="preserve">„gewohnheitsmäßig“ </w:t>
      </w:r>
      <w:r w:rsidRPr="00FC37CF">
        <w:t xml:space="preserve">vergeben. </w:t>
      </w:r>
    </w:p>
    <w:p w14:paraId="52988206" w14:textId="77777777" w:rsidR="008E1AD4" w:rsidRPr="00FC37CF" w:rsidRDefault="00E21395" w:rsidP="008E1AD4">
      <w:pPr>
        <w:pStyle w:val="Listenabsatz"/>
        <w:numPr>
          <w:ilvl w:val="0"/>
          <w:numId w:val="10"/>
        </w:numPr>
        <w:spacing w:after="120"/>
        <w:ind w:left="357" w:hanging="357"/>
        <w:contextualSpacing w:val="0"/>
      </w:pPr>
      <w:r w:rsidRPr="00FC37CF">
        <w:t xml:space="preserve">Derartige ungeprüfte Naturalzuteilungen </w:t>
      </w:r>
      <w:r w:rsidR="00296F58" w:rsidRPr="00FC37CF">
        <w:t xml:space="preserve">schädigen die Gemeinde, weil sie </w:t>
      </w:r>
      <w:r w:rsidRPr="00FC37CF">
        <w:t>auch jenen Nutzungs</w:t>
      </w:r>
      <w:r w:rsidR="00296F58" w:rsidRPr="00FC37CF">
        <w:softHyphen/>
      </w:r>
      <w:r w:rsidRPr="00FC37CF">
        <w:t xml:space="preserve">berechtigten, die keinen konkreten Bedarf haben oder die </w:t>
      </w:r>
      <w:r w:rsidR="008074CC" w:rsidRPr="00FC37CF">
        <w:t xml:space="preserve">– wie oftmals gegeben - </w:t>
      </w:r>
      <w:r w:rsidRPr="00FC37CF">
        <w:t xml:space="preserve">überhaupt keine Landwirtschaft mehr betreiben, </w:t>
      </w:r>
      <w:proofErr w:type="spellStart"/>
      <w:proofErr w:type="gramStart"/>
      <w:r w:rsidRPr="00FC37CF">
        <w:t>zugute</w:t>
      </w:r>
      <w:r w:rsidR="00296F58" w:rsidRPr="00FC37CF">
        <w:t xml:space="preserve"> kommen</w:t>
      </w:r>
      <w:proofErr w:type="spellEnd"/>
      <w:proofErr w:type="gramEnd"/>
      <w:r w:rsidRPr="00FC37CF">
        <w:t xml:space="preserve">. </w:t>
      </w:r>
    </w:p>
    <w:p w14:paraId="13BFE691" w14:textId="62D8F1B8" w:rsidR="0053139A" w:rsidRPr="00FC37CF" w:rsidRDefault="00E21395" w:rsidP="0053139A">
      <w:pPr>
        <w:pStyle w:val="Listenabsatz"/>
        <w:numPr>
          <w:ilvl w:val="0"/>
          <w:numId w:val="15"/>
        </w:numPr>
        <w:spacing w:after="120" w:line="276" w:lineRule="auto"/>
        <w:rPr>
          <w:rFonts w:cs="Calibri"/>
        </w:rPr>
      </w:pPr>
      <w:r w:rsidRPr="00FC37CF">
        <w:rPr>
          <w:rFonts w:cs="Calibri"/>
        </w:rPr>
        <w:t xml:space="preserve">Die in der TGO </w:t>
      </w:r>
      <w:r w:rsidR="008074CC" w:rsidRPr="00FC37CF">
        <w:rPr>
          <w:rFonts w:cs="Calibri"/>
        </w:rPr>
        <w:t xml:space="preserve">seit vielen Jahren </w:t>
      </w:r>
      <w:r w:rsidRPr="00FC37CF">
        <w:rPr>
          <w:rFonts w:cs="Calibri"/>
        </w:rPr>
        <w:t>klar festgelegte Regel über die Nutzung des Gemeindegut</w:t>
      </w:r>
      <w:r w:rsidR="00296F58" w:rsidRPr="00FC37CF">
        <w:rPr>
          <w:rFonts w:cs="Calibri"/>
        </w:rPr>
        <w:t>e</w:t>
      </w:r>
      <w:r w:rsidRPr="00FC37CF">
        <w:rPr>
          <w:rFonts w:cs="Calibri"/>
        </w:rPr>
        <w:t xml:space="preserve">s war der Tiroler Landesregierung </w:t>
      </w:r>
      <w:r w:rsidR="008074CC" w:rsidRPr="00FC37CF">
        <w:rPr>
          <w:rFonts w:cs="Calibri"/>
        </w:rPr>
        <w:t xml:space="preserve">bereits </w:t>
      </w:r>
      <w:r w:rsidRPr="00FC37CF">
        <w:rPr>
          <w:rFonts w:cs="Calibri"/>
        </w:rPr>
        <w:t>in den 30-er Jahren des vorigen Jahrhunderts sehr wohl bekannt (</w:t>
      </w:r>
      <w:proofErr w:type="spellStart"/>
      <w:r w:rsidRPr="00FC37CF">
        <w:rPr>
          <w:rFonts w:cs="Calibri"/>
        </w:rPr>
        <w:t>vgl</w:t>
      </w:r>
      <w:proofErr w:type="spellEnd"/>
      <w:r w:rsidRPr="00FC37CF">
        <w:rPr>
          <w:rFonts w:cs="Calibri"/>
        </w:rPr>
        <w:t xml:space="preserve"> </w:t>
      </w:r>
      <w:hyperlink r:id="rId9" w:history="1">
        <w:r w:rsidRPr="00CC64E7">
          <w:rPr>
            <w:rStyle w:val="Hyperlink"/>
            <w:rFonts w:cs="Calibri"/>
          </w:rPr>
          <w:t>Bescheid</w:t>
        </w:r>
        <w:r w:rsidRPr="00CC64E7">
          <w:rPr>
            <w:rStyle w:val="Hyperlink"/>
            <w:rFonts w:cs="Calibri"/>
          </w:rPr>
          <w:t xml:space="preserve"> </w:t>
        </w:r>
        <w:r w:rsidRPr="00CC64E7">
          <w:rPr>
            <w:rStyle w:val="Hyperlink"/>
            <w:rFonts w:cs="Calibri"/>
          </w:rPr>
          <w:t xml:space="preserve">der </w:t>
        </w:r>
        <w:proofErr w:type="spellStart"/>
        <w:r w:rsidRPr="00CC64E7">
          <w:rPr>
            <w:rStyle w:val="Hyperlink"/>
            <w:rFonts w:cs="Calibri"/>
          </w:rPr>
          <w:t>TirLReg</w:t>
        </w:r>
        <w:proofErr w:type="spellEnd"/>
        <w:r w:rsidRPr="00CC64E7">
          <w:rPr>
            <w:rStyle w:val="Hyperlink"/>
            <w:rFonts w:cs="Calibri"/>
          </w:rPr>
          <w:t xml:space="preserve"> vom 25.11.1932, VI 3115/1</w:t>
        </w:r>
      </w:hyperlink>
      <w:r w:rsidRPr="00FC37CF">
        <w:rPr>
          <w:rFonts w:cs="Calibri"/>
        </w:rPr>
        <w:t>).</w:t>
      </w:r>
      <w:r w:rsidR="008E1AD4" w:rsidRPr="00FC37CF">
        <w:rPr>
          <w:rFonts w:cs="Calibri"/>
        </w:rPr>
        <w:t xml:space="preserve"> Wenn die Landwirtschaft nicht mehr betrieben wird, sind die Nutzungen erloschen und leben nicht </w:t>
      </w:r>
      <w:r w:rsidR="008E1AD4" w:rsidRPr="00FC37CF">
        <w:rPr>
          <w:rFonts w:cs="Calibri"/>
        </w:rPr>
        <w:lastRenderedPageBreak/>
        <w:t xml:space="preserve">mehr auf. Im </w:t>
      </w:r>
      <w:proofErr w:type="spellStart"/>
      <w:r w:rsidR="008E1AD4" w:rsidRPr="00FC37CF">
        <w:rPr>
          <w:rFonts w:cs="Calibri"/>
        </w:rPr>
        <w:t>oban</w:t>
      </w:r>
      <w:r w:rsidR="008E1AD4" w:rsidRPr="00FC37CF">
        <w:rPr>
          <w:rFonts w:cs="Calibri"/>
        </w:rPr>
        <w:softHyphen/>
        <w:t>geführ</w:t>
      </w:r>
      <w:r w:rsidR="008E1AD4" w:rsidRPr="00FC37CF">
        <w:rPr>
          <w:rFonts w:cs="Calibri"/>
        </w:rPr>
        <w:softHyphen/>
        <w:t>ten</w:t>
      </w:r>
      <w:proofErr w:type="spellEnd"/>
      <w:r w:rsidR="008E1AD4" w:rsidRPr="00FC37CF">
        <w:rPr>
          <w:rFonts w:cs="Calibri"/>
        </w:rPr>
        <w:t xml:space="preserve"> Bescheid aus dem Jahre 1932 wurde diese Selbstverständlichkeit von der Landesregierung auf nicht einmal vier Seiten </w:t>
      </w:r>
      <w:r w:rsidR="008E1AD4" w:rsidRPr="00FC37CF">
        <w:t>ausgeführt</w:t>
      </w:r>
      <w:r w:rsidR="008E1AD4" w:rsidRPr="00FC37CF">
        <w:rPr>
          <w:rFonts w:cs="Calibri"/>
        </w:rPr>
        <w:t>.</w:t>
      </w:r>
    </w:p>
    <w:p w14:paraId="4E4F7645" w14:textId="77777777" w:rsidR="0053139A" w:rsidRPr="00FC37CF" w:rsidRDefault="00E21395" w:rsidP="0053139A">
      <w:pPr>
        <w:pStyle w:val="Listenabsatz"/>
        <w:numPr>
          <w:ilvl w:val="0"/>
          <w:numId w:val="15"/>
        </w:numPr>
        <w:spacing w:after="120" w:line="276" w:lineRule="auto"/>
        <w:ind w:left="714" w:hanging="357"/>
        <w:contextualSpacing w:val="0"/>
        <w:rPr>
          <w:rFonts w:cs="Calibri"/>
        </w:rPr>
      </w:pPr>
      <w:r w:rsidRPr="00FC37CF">
        <w:rPr>
          <w:rFonts w:cs="Calibri"/>
        </w:rPr>
        <w:t>Es hat somit einmal eine Zeit gegeben, in der die Tiroler Landesregierung (und die zustän</w:t>
      </w:r>
      <w:r w:rsidR="002F232F" w:rsidRPr="00FC37CF">
        <w:rPr>
          <w:rFonts w:cs="Calibri"/>
        </w:rPr>
        <w:softHyphen/>
      </w:r>
      <w:r w:rsidRPr="00FC37CF">
        <w:rPr>
          <w:rFonts w:cs="Calibri"/>
        </w:rPr>
        <w:t xml:space="preserve">digen Abteilungen im Hause) sehr genau gewusst haben, dass das </w:t>
      </w:r>
      <w:r w:rsidRPr="00FC37CF">
        <w:rPr>
          <w:rFonts w:cs="Calibri"/>
          <w:u w:val="single"/>
        </w:rPr>
        <w:t>Gemeindegut ein Teil des Gemeindevermögens ist und sich die Holznutzun</w:t>
      </w:r>
      <w:r w:rsidR="008E1AD4" w:rsidRPr="00FC37CF">
        <w:rPr>
          <w:rFonts w:cs="Calibri"/>
          <w:u w:val="single"/>
        </w:rPr>
        <w:softHyphen/>
      </w:r>
      <w:r w:rsidRPr="00FC37CF">
        <w:rPr>
          <w:rFonts w:cs="Calibri"/>
          <w:u w:val="single"/>
        </w:rPr>
        <w:t xml:space="preserve">gen auf den Haus- und Gutsbedarf der </w:t>
      </w:r>
      <w:proofErr w:type="spellStart"/>
      <w:r w:rsidRPr="00FC37CF">
        <w:rPr>
          <w:rFonts w:cs="Calibri"/>
          <w:u w:val="single"/>
        </w:rPr>
        <w:t>eingeforsteten</w:t>
      </w:r>
      <w:proofErr w:type="spellEnd"/>
      <w:r w:rsidRPr="00FC37CF">
        <w:rPr>
          <w:rFonts w:cs="Calibri"/>
          <w:u w:val="single"/>
        </w:rPr>
        <w:t xml:space="preserve"> Betriebe zu beschränken haben.</w:t>
      </w:r>
      <w:r w:rsidRPr="00FC37CF">
        <w:rPr>
          <w:rFonts w:cs="Calibri"/>
        </w:rPr>
        <w:t xml:space="preserve"> </w:t>
      </w:r>
    </w:p>
    <w:p w14:paraId="7C842C82" w14:textId="58018B72" w:rsidR="00E21395" w:rsidRPr="00FC37CF" w:rsidRDefault="00E21395" w:rsidP="0053139A">
      <w:pPr>
        <w:pStyle w:val="Listenabsatz"/>
        <w:numPr>
          <w:ilvl w:val="0"/>
          <w:numId w:val="15"/>
        </w:numPr>
        <w:spacing w:after="120" w:line="276" w:lineRule="auto"/>
        <w:rPr>
          <w:rFonts w:cs="Calibri"/>
        </w:rPr>
      </w:pPr>
      <w:r w:rsidRPr="00FC37CF">
        <w:t xml:space="preserve">Mit dem in den 1950er Jahren </w:t>
      </w:r>
      <w:r w:rsidR="00296F58" w:rsidRPr="00FC37CF">
        <w:t>von</w:t>
      </w:r>
      <w:r w:rsidRPr="00FC37CF">
        <w:t xml:space="preserve"> Agrarlandesrat Wallnöfer </w:t>
      </w:r>
      <w:r w:rsidR="00296F58" w:rsidRPr="00FC37CF">
        <w:t>betriebenen</w:t>
      </w:r>
      <w:r w:rsidRPr="00FC37CF">
        <w:t xml:space="preserve"> Übergang der Zustän</w:t>
      </w:r>
      <w:r w:rsidR="001F37EC" w:rsidRPr="00FC37CF">
        <w:softHyphen/>
      </w:r>
      <w:r w:rsidRPr="00FC37CF">
        <w:t>digkeit der Aufsicht über das Gemeindegut von der Gemeindeabteilung auf die Agrar</w:t>
      </w:r>
      <w:r w:rsidR="001F37EC" w:rsidRPr="00FC37CF">
        <w:softHyphen/>
      </w:r>
      <w:r w:rsidRPr="00FC37CF">
        <w:t>behörde ging dieses Wissen offenbar – ob rechtsirrtümlich oder bewusst sei dahin</w:t>
      </w:r>
      <w:r w:rsidR="00296F58" w:rsidRPr="00FC37CF">
        <w:softHyphen/>
      </w:r>
      <w:r w:rsidRPr="00FC37CF">
        <w:t>gestellt - verloren.</w:t>
      </w:r>
    </w:p>
    <w:p w14:paraId="0710BAC1" w14:textId="122871D2" w:rsidR="00296F58" w:rsidRPr="00FC37CF" w:rsidRDefault="00E21395" w:rsidP="0053139A">
      <w:pPr>
        <w:pStyle w:val="Listenabsatz"/>
        <w:numPr>
          <w:ilvl w:val="0"/>
          <w:numId w:val="12"/>
        </w:numPr>
        <w:shd w:val="clear" w:color="auto" w:fill="FFFFFF"/>
        <w:spacing w:after="120" w:line="276" w:lineRule="auto"/>
        <w:ind w:left="357" w:hanging="357"/>
        <w:contextualSpacing w:val="0"/>
      </w:pPr>
      <w:r w:rsidRPr="00FC37CF">
        <w:t>Oft erfolgt</w:t>
      </w:r>
      <w:r w:rsidR="00296F58" w:rsidRPr="00FC37CF">
        <w:t xml:space="preserve"> - </w:t>
      </w:r>
      <w:r w:rsidR="00A95D31" w:rsidRPr="00FC37CF">
        <w:t>wiederum</w:t>
      </w:r>
      <w:r w:rsidR="008074CC" w:rsidRPr="00FC37CF">
        <w:t xml:space="preserve">, </w:t>
      </w:r>
      <w:r w:rsidRPr="00FC37CF">
        <w:t xml:space="preserve">„nach alter Übung“ </w:t>
      </w:r>
      <w:r w:rsidR="00296F58" w:rsidRPr="00FC37CF">
        <w:t xml:space="preserve">am Gesetz vorbei - </w:t>
      </w:r>
      <w:r w:rsidRPr="00FC37CF">
        <w:t>die Verteilung des Erlöses aus dem Verkauf von Nutzungserträgen an Agrargemeinschafts</w:t>
      </w:r>
      <w:r w:rsidR="008074CC" w:rsidRPr="00FC37CF">
        <w:softHyphen/>
      </w:r>
      <w:r w:rsidRPr="00FC37CF">
        <w:t xml:space="preserve">mitglieder. Diese Vorgangsweise ist jedoch jedenfalls unzulässig: </w:t>
      </w:r>
      <w:r w:rsidR="008E1AD4" w:rsidRPr="00FC37CF">
        <w:t>Denn n</w:t>
      </w:r>
      <w:r w:rsidRPr="00FC37CF">
        <w:t xml:space="preserve">ach ständiger Rechtsprechung bestehen </w:t>
      </w:r>
      <w:r w:rsidR="008E1AD4" w:rsidRPr="00FC37CF">
        <w:t xml:space="preserve">die </w:t>
      </w:r>
      <w:r w:rsidRPr="00FC37CF">
        <w:t>Nutzungs</w:t>
      </w:r>
      <w:r w:rsidR="001F37EC" w:rsidRPr="00FC37CF">
        <w:softHyphen/>
      </w:r>
      <w:r w:rsidRPr="00FC37CF">
        <w:t>rechte von Mit</w:t>
      </w:r>
      <w:r w:rsidR="008E1AD4" w:rsidRPr="00FC37CF">
        <w:softHyphen/>
      </w:r>
      <w:r w:rsidRPr="00FC37CF">
        <w:t>gliedern einer Agrargemeinschaft an Gemeindeguts</w:t>
      </w:r>
      <w:r w:rsidR="00296F58" w:rsidRPr="00FC37CF">
        <w:softHyphen/>
      </w:r>
      <w:r w:rsidRPr="00FC37CF">
        <w:t>grund</w:t>
      </w:r>
      <w:r w:rsidR="002F232F" w:rsidRPr="00FC37CF">
        <w:softHyphen/>
      </w:r>
      <w:r w:rsidRPr="00FC37CF">
        <w:t xml:space="preserve">stücken ausschließlich im Bezug von Naturalleistungen </w:t>
      </w:r>
      <w:r w:rsidR="008E1AD4" w:rsidRPr="00FC37CF">
        <w:t xml:space="preserve">bis </w:t>
      </w:r>
      <w:r w:rsidRPr="00FC37CF">
        <w:t xml:space="preserve">zur </w:t>
      </w:r>
      <w:r w:rsidR="008E1AD4" w:rsidRPr="00FC37CF">
        <w:t xml:space="preserve">Grenze der </w:t>
      </w:r>
      <w:r w:rsidRPr="00FC37CF">
        <w:t>Deckung des Haus- und Gutsbedarfs. Nutzungen, die keinen konkreten Sachbedarf befriedigen sollen, sondern lediglich einen finanziellen Vorteil enthalten, gehören daher nicht zum Haus- und Guts</w:t>
      </w:r>
      <w:r w:rsidR="002F232F" w:rsidRPr="00FC37CF">
        <w:softHyphen/>
      </w:r>
      <w:r w:rsidRPr="00FC37CF">
        <w:t>bedarf (</w:t>
      </w:r>
      <w:hyperlink r:id="rId10" w:history="1">
        <w:r w:rsidR="008074CC" w:rsidRPr="00CC64E7">
          <w:rPr>
            <w:color w:val="0070C0"/>
            <w:u w:val="single"/>
          </w:rPr>
          <w:t>LVwG-2</w:t>
        </w:r>
        <w:r w:rsidR="008074CC" w:rsidRPr="00CC64E7">
          <w:rPr>
            <w:color w:val="0070C0"/>
            <w:u w:val="single"/>
          </w:rPr>
          <w:t>0</w:t>
        </w:r>
        <w:r w:rsidR="008074CC" w:rsidRPr="00CC64E7">
          <w:rPr>
            <w:color w:val="0070C0"/>
            <w:u w:val="single"/>
          </w:rPr>
          <w:t>14/37/1480-9</w:t>
        </w:r>
      </w:hyperlink>
      <w:r w:rsidR="008074CC" w:rsidRPr="00CC64E7">
        <w:rPr>
          <w:rFonts w:ascii="Arial" w:eastAsia="Times New Roman" w:hAnsi="Arial" w:cs="Arial"/>
          <w:color w:val="0070C0"/>
          <w:u w:val="single"/>
        </w:rPr>
        <w:t xml:space="preserve"> und </w:t>
      </w:r>
      <w:hyperlink r:id="rId11" w:history="1">
        <w:r w:rsidRPr="00CC64E7">
          <w:rPr>
            <w:color w:val="0070C0"/>
            <w:u w:val="single"/>
          </w:rPr>
          <w:t>LVwG-2014/37/3406-8</w:t>
        </w:r>
      </w:hyperlink>
      <w:r w:rsidR="008074CC" w:rsidRPr="00FC37CF">
        <w:rPr>
          <w:color w:val="2E74B5" w:themeColor="accent5" w:themeShade="BF"/>
        </w:rPr>
        <w:t xml:space="preserve"> </w:t>
      </w:r>
      <w:r w:rsidRPr="00FC37CF">
        <w:rPr>
          <w:bCs/>
          <w:iCs/>
        </w:rPr>
        <w:t>).</w:t>
      </w:r>
      <w:r w:rsidRPr="00FC37CF">
        <w:t xml:space="preserve"> </w:t>
      </w:r>
    </w:p>
    <w:p w14:paraId="121DBCBB" w14:textId="4E6E1FCC" w:rsidR="00A95D31" w:rsidRPr="00FC37CF" w:rsidRDefault="00E21395" w:rsidP="0053139A">
      <w:pPr>
        <w:pStyle w:val="Listenabsatz"/>
        <w:shd w:val="clear" w:color="auto" w:fill="FFFFFF"/>
        <w:spacing w:after="180" w:line="276" w:lineRule="auto"/>
        <w:ind w:left="360"/>
      </w:pPr>
      <w:r w:rsidRPr="00FC37CF">
        <w:t xml:space="preserve">Da </w:t>
      </w:r>
      <w:r w:rsidR="008E1AD4" w:rsidRPr="00FC37CF">
        <w:t xml:space="preserve">somit </w:t>
      </w:r>
      <w:r w:rsidRPr="00FC37CF">
        <w:t xml:space="preserve">nicht der Gemeinde zustehende „Ertragsüberschüsse“ </w:t>
      </w:r>
      <w:r w:rsidR="001F37EC" w:rsidRPr="00FC37CF">
        <w:t>rechtlich</w:t>
      </w:r>
      <w:r w:rsidR="00842530" w:rsidRPr="00FC37CF">
        <w:t xml:space="preserve"> </w:t>
      </w:r>
      <w:r w:rsidRPr="00FC37CF">
        <w:t>nicht möglich sind, besteht kein Zweifel, dass es sich etwa im Falle eines Holzverkaufs um eine Angelegen</w:t>
      </w:r>
      <w:r w:rsidR="001F37EC" w:rsidRPr="00FC37CF">
        <w:softHyphen/>
      </w:r>
      <w:r w:rsidRPr="00FC37CF">
        <w:t>heit han</w:t>
      </w:r>
      <w:r w:rsidR="008E1AD4" w:rsidRPr="00FC37CF">
        <w:softHyphen/>
      </w:r>
      <w:r w:rsidRPr="00FC37CF">
        <w:t>delt, die den Substanzwert der agrargemeinschaftlichen Grund</w:t>
      </w:r>
      <w:r w:rsidR="002F232F" w:rsidRPr="00FC37CF">
        <w:softHyphen/>
      </w:r>
      <w:r w:rsidRPr="00FC37CF">
        <w:t xml:space="preserve">stücke betrifft. </w:t>
      </w:r>
      <w:r w:rsidR="008E1AD4" w:rsidRPr="00FC37CF">
        <w:t>Daher stellt</w:t>
      </w:r>
      <w:r w:rsidRPr="00FC37CF">
        <w:t xml:space="preserve"> </w:t>
      </w:r>
      <w:r w:rsidR="00842530" w:rsidRPr="00FC37CF">
        <w:t xml:space="preserve">schon allein </w:t>
      </w:r>
      <w:r w:rsidRPr="00FC37CF">
        <w:t xml:space="preserve">der </w:t>
      </w:r>
      <w:r w:rsidR="008E1AD4" w:rsidRPr="00FC37CF">
        <w:t xml:space="preserve">Umstands eines </w:t>
      </w:r>
      <w:r w:rsidRPr="00FC37CF">
        <w:t>Verkauf</w:t>
      </w:r>
      <w:r w:rsidR="008E1AD4" w:rsidRPr="00FC37CF">
        <w:t>s</w:t>
      </w:r>
      <w:r w:rsidRPr="00FC37CF">
        <w:t xml:space="preserve"> implizit klar, dass der Haus- und Guts</w:t>
      </w:r>
      <w:r w:rsidR="002F232F" w:rsidRPr="00FC37CF">
        <w:softHyphen/>
      </w:r>
      <w:r w:rsidRPr="00FC37CF">
        <w:t>bedarf offenbar bereits gedeckt ist (</w:t>
      </w:r>
      <w:r w:rsidR="008E1AD4" w:rsidRPr="00FC37CF">
        <w:t>T</w:t>
      </w:r>
      <w:hyperlink r:id="rId12" w:history="1">
        <w:r w:rsidRPr="00FC37CF">
          <w:t>LVwG-2016/35/0879-1</w:t>
        </w:r>
      </w:hyperlink>
      <w:r w:rsidR="00842530" w:rsidRPr="00FC37CF">
        <w:t xml:space="preserve">; </w:t>
      </w:r>
      <w:r w:rsidRPr="00FC37CF">
        <w:t>in diesem Sinn auch schon</w:t>
      </w:r>
      <w:r w:rsidR="00842530" w:rsidRPr="00FC37CF">
        <w:t xml:space="preserve"> die</w:t>
      </w:r>
      <w:r w:rsidRPr="00FC37CF">
        <w:t xml:space="preserve"> </w:t>
      </w:r>
      <w:hyperlink r:id="rId13" w:history="1">
        <w:r w:rsidRPr="00CC64E7">
          <w:rPr>
            <w:rStyle w:val="Hyperlink"/>
          </w:rPr>
          <w:t>Verordnung der k. k. Statthalterei für Tirol und Vorarlberg vom 17. Juli 1855</w:t>
        </w:r>
      </w:hyperlink>
      <w:r w:rsidR="00CC64E7">
        <w:rPr>
          <w:b/>
          <w:i/>
          <w:color w:val="2E74B5" w:themeColor="accent5" w:themeShade="BF"/>
          <w:sz w:val="20"/>
          <w:szCs w:val="20"/>
        </w:rPr>
        <w:t>)</w:t>
      </w:r>
      <w:r w:rsidRPr="00FC37CF">
        <w:t>.</w:t>
      </w:r>
    </w:p>
    <w:p w14:paraId="2602F073" w14:textId="77777777" w:rsidR="001F37EC" w:rsidRPr="001F37EC" w:rsidRDefault="001F37EC" w:rsidP="00296F58">
      <w:pPr>
        <w:pStyle w:val="Listenabsatz"/>
        <w:shd w:val="clear" w:color="auto" w:fill="FFFFFF"/>
        <w:spacing w:after="180" w:line="276" w:lineRule="auto"/>
        <w:ind w:left="360"/>
      </w:pPr>
    </w:p>
    <w:tbl>
      <w:tblPr>
        <w:tblStyle w:val="Tabellenraster"/>
        <w:tblW w:w="0" w:type="auto"/>
        <w:tblInd w:w="534" w:type="dxa"/>
        <w:tblLook w:val="04A0" w:firstRow="1" w:lastRow="0" w:firstColumn="1" w:lastColumn="0" w:noHBand="0" w:noVBand="1"/>
      </w:tblPr>
      <w:tblGrid>
        <w:gridCol w:w="8678"/>
      </w:tblGrid>
      <w:tr w:rsidR="001F37EC" w14:paraId="27E7F92F" w14:textId="77777777" w:rsidTr="008E1AD4">
        <w:tc>
          <w:tcPr>
            <w:tcW w:w="8678" w:type="dxa"/>
          </w:tcPr>
          <w:bookmarkEnd w:id="0"/>
          <w:p w14:paraId="34C941A4" w14:textId="10057EF4" w:rsidR="001F37EC" w:rsidRPr="00FC37CF" w:rsidRDefault="001F37EC" w:rsidP="001F37EC">
            <w:pPr>
              <w:spacing w:after="0" w:line="276" w:lineRule="auto"/>
              <w:jc w:val="both"/>
            </w:pPr>
            <w:r w:rsidRPr="00FC37CF">
              <w:rPr>
                <w:b/>
                <w:bCs/>
              </w:rPr>
              <w:t xml:space="preserve">Durch die Unterlassung der gebotenen Bedarfsprüfungen werden </w:t>
            </w:r>
            <w:proofErr w:type="spellStart"/>
            <w:r w:rsidRPr="00FC37CF">
              <w:rPr>
                <w:b/>
                <w:bCs/>
              </w:rPr>
              <w:t>tirolweit</w:t>
            </w:r>
            <w:proofErr w:type="spellEnd"/>
            <w:r w:rsidRPr="00FC37CF">
              <w:rPr>
                <w:b/>
                <w:bCs/>
              </w:rPr>
              <w:t xml:space="preserve"> gesetz</w:t>
            </w:r>
            <w:r w:rsidRPr="00FC37CF">
              <w:rPr>
                <w:b/>
                <w:bCs/>
              </w:rPr>
              <w:softHyphen/>
            </w:r>
            <w:r w:rsidRPr="00FC37CF">
              <w:rPr>
                <w:b/>
                <w:bCs/>
              </w:rPr>
              <w:softHyphen/>
              <w:t>widrig Gemeindegelder im jährlichen Ausmaß von mehreren hundert</w:t>
            </w:r>
            <w:r w:rsidRPr="00FC37CF">
              <w:rPr>
                <w:b/>
                <w:bCs/>
              </w:rPr>
              <w:softHyphen/>
              <w:t>tausend Euro an nicht berechtigte Agrarmitglieder verteilt. Die Agrarbehörde als Aufsichts</w:t>
            </w:r>
            <w:r w:rsidRPr="00FC37CF">
              <w:rPr>
                <w:b/>
                <w:bCs/>
              </w:rPr>
              <w:softHyphen/>
              <w:t>behörde schaut taten</w:t>
            </w:r>
            <w:r w:rsidR="008E1AD4" w:rsidRPr="00FC37CF">
              <w:rPr>
                <w:b/>
                <w:bCs/>
              </w:rPr>
              <w:softHyphen/>
            </w:r>
            <w:r w:rsidRPr="00FC37CF">
              <w:rPr>
                <w:b/>
                <w:bCs/>
              </w:rPr>
              <w:t>los zu (bzw. weg)</w:t>
            </w:r>
            <w:r w:rsidRPr="00FC37CF">
              <w:t>!</w:t>
            </w:r>
          </w:p>
        </w:tc>
      </w:tr>
    </w:tbl>
    <w:p w14:paraId="45C791DF" w14:textId="04D5293D" w:rsidR="00EB026C" w:rsidRDefault="00EB026C" w:rsidP="006E7C2D">
      <w:pPr>
        <w:spacing w:line="276" w:lineRule="auto"/>
        <w:jc w:val="both"/>
        <w:rPr>
          <w:sz w:val="24"/>
          <w:szCs w:val="24"/>
        </w:rPr>
      </w:pPr>
    </w:p>
    <w:p w14:paraId="3CD74A86" w14:textId="77777777" w:rsidR="001F37EC" w:rsidRPr="006E7C2D" w:rsidRDefault="001F37EC">
      <w:pPr>
        <w:spacing w:after="0" w:line="276" w:lineRule="auto"/>
        <w:jc w:val="both"/>
        <w:rPr>
          <w:sz w:val="24"/>
          <w:szCs w:val="24"/>
        </w:rPr>
      </w:pPr>
    </w:p>
    <w:sectPr w:rsidR="001F37EC" w:rsidRPr="006E7C2D" w:rsidSect="001A25BD">
      <w:headerReference w:type="default" r:id="rId14"/>
      <w:footerReference w:type="default" r:id="rId15"/>
      <w:pgSz w:w="11906" w:h="16838"/>
      <w:pgMar w:top="1417" w:right="1417" w:bottom="1134" w:left="1417" w:header="0" w:footer="170" w:gutter="0"/>
      <w:pgNumType w:fmt="numberInDash"/>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5144" w14:textId="77777777" w:rsidR="00C20C97" w:rsidRDefault="00C20C97" w:rsidP="0033541A">
      <w:pPr>
        <w:spacing w:after="0" w:line="240" w:lineRule="auto"/>
      </w:pPr>
      <w:r>
        <w:separator/>
      </w:r>
    </w:p>
  </w:endnote>
  <w:endnote w:type="continuationSeparator" w:id="0">
    <w:p w14:paraId="2ABB3719" w14:textId="77777777" w:rsidR="00C20C97" w:rsidRDefault="00C20C97" w:rsidP="0033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iome Light">
    <w:altName w:val="Biome Light"/>
    <w:charset w:val="00"/>
    <w:family w:val="swiss"/>
    <w:pitch w:val="variable"/>
    <w:sig w:usb0="A11526FF" w:usb1="8000000A" w:usb2="00010000" w:usb3="00000000" w:csb0="0000019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31EF" w14:textId="77777777" w:rsidR="00D23AB4" w:rsidRDefault="00D23AB4" w:rsidP="0033541A">
    <w:pPr>
      <w:pStyle w:val="Fuzeile"/>
      <w:jc w:val="center"/>
      <w:rPr>
        <w:rFonts w:ascii="Biome Light" w:eastAsia="Yu Gothic UI Semibold" w:hAnsi="Biome Light" w:cs="Biome Light"/>
        <w:b/>
        <w:bCs/>
        <w:sz w:val="24"/>
        <w:szCs w:val="24"/>
      </w:rPr>
    </w:pPr>
  </w:p>
  <w:p w14:paraId="4B239B49" w14:textId="77777777" w:rsidR="001A25BD" w:rsidRDefault="001A25BD" w:rsidP="001A25BD">
    <w:pPr>
      <w:pStyle w:val="Fuzeile"/>
      <w:jc w:val="center"/>
      <w:rPr>
        <w:rFonts w:cstheme="minorHAnsi"/>
      </w:rPr>
    </w:pPr>
    <w:r>
      <w:rPr>
        <w:rFonts w:eastAsia="Yu Gothic UI Semibold" w:cstheme="minorHAnsi"/>
      </w:rPr>
      <w:t>&gt;&gt; Gemeindeland in Gemeindehand &lt;&lt;</w:t>
    </w:r>
  </w:p>
  <w:p w14:paraId="272915CA" w14:textId="77777777" w:rsidR="006E7C2D" w:rsidRPr="0033541A" w:rsidRDefault="006E7C2D" w:rsidP="0033541A">
    <w:pPr>
      <w:pStyle w:val="Fuzeil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DDF7" w14:textId="77777777" w:rsidR="00C20C97" w:rsidRDefault="00C20C97" w:rsidP="0033541A">
      <w:pPr>
        <w:spacing w:after="0" w:line="240" w:lineRule="auto"/>
      </w:pPr>
      <w:r>
        <w:separator/>
      </w:r>
    </w:p>
  </w:footnote>
  <w:footnote w:type="continuationSeparator" w:id="0">
    <w:p w14:paraId="09923C43" w14:textId="77777777" w:rsidR="00C20C97" w:rsidRDefault="00C20C97" w:rsidP="0033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93090"/>
      <w:docPartObj>
        <w:docPartGallery w:val="Page Numbers (Top of Page)"/>
        <w:docPartUnique/>
      </w:docPartObj>
    </w:sdtPr>
    <w:sdtEndPr/>
    <w:sdtContent>
      <w:p w14:paraId="5CA7DE66" w14:textId="77777777" w:rsidR="00AD7547" w:rsidRDefault="00AD7547">
        <w:pPr>
          <w:pStyle w:val="Kopfzeile"/>
          <w:jc w:val="center"/>
        </w:pPr>
      </w:p>
      <w:p w14:paraId="32F4A949" w14:textId="2F0BDACE" w:rsidR="00E21395" w:rsidRDefault="00E21395">
        <w:pPr>
          <w:pStyle w:val="Kopfzeile"/>
          <w:jc w:val="center"/>
        </w:pPr>
        <w:r>
          <w:fldChar w:fldCharType="begin"/>
        </w:r>
        <w:r>
          <w:instrText>PAGE   \* MERGEFORMAT</w:instrText>
        </w:r>
        <w:r>
          <w:fldChar w:fldCharType="separate"/>
        </w:r>
        <w:r w:rsidR="00842530" w:rsidRPr="00842530">
          <w:rPr>
            <w:noProof/>
            <w:lang w:val="de-DE"/>
          </w:rPr>
          <w:t>2</w:t>
        </w:r>
        <w:r>
          <w:fldChar w:fldCharType="end"/>
        </w:r>
      </w:p>
      <w:p w14:paraId="2D69215C" w14:textId="77777777" w:rsidR="00E21395" w:rsidRDefault="00E21395">
        <w:pPr>
          <w:pStyle w:val="Kopfzeile"/>
          <w:jc w:val="center"/>
        </w:pPr>
      </w:p>
      <w:p w14:paraId="583957D0" w14:textId="112AAE30" w:rsidR="00E21395" w:rsidRDefault="00C20C97">
        <w:pPr>
          <w:pStyle w:val="Kopfzeile"/>
          <w:jc w:val="center"/>
        </w:pPr>
      </w:p>
    </w:sdtContent>
  </w:sdt>
  <w:p w14:paraId="4D3F1ECD" w14:textId="77777777" w:rsidR="00E21395" w:rsidRDefault="00E213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738"/>
    <w:multiLevelType w:val="hybridMultilevel"/>
    <w:tmpl w:val="33CC82A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6E078E6"/>
    <w:multiLevelType w:val="multilevel"/>
    <w:tmpl w:val="A0321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CD28D9"/>
    <w:multiLevelType w:val="hybridMultilevel"/>
    <w:tmpl w:val="807229C2"/>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3">
      <w:start w:val="1"/>
      <w:numFmt w:val="bullet"/>
      <w:lvlText w:val="o"/>
      <w:lvlJc w:val="left"/>
      <w:pPr>
        <w:ind w:left="1800" w:hanging="360"/>
      </w:pPr>
      <w:rPr>
        <w:rFonts w:ascii="Courier New" w:hAnsi="Courier New" w:cs="Courier New"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BC7339E"/>
    <w:multiLevelType w:val="multilevel"/>
    <w:tmpl w:val="E2E86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DEA378B"/>
    <w:multiLevelType w:val="hybridMultilevel"/>
    <w:tmpl w:val="2228BD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B0497A"/>
    <w:multiLevelType w:val="multilevel"/>
    <w:tmpl w:val="2B06E8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C8D3BDB"/>
    <w:multiLevelType w:val="hybridMultilevel"/>
    <w:tmpl w:val="DB444782"/>
    <w:lvl w:ilvl="0" w:tplc="AB346E2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9058DE"/>
    <w:multiLevelType w:val="hybridMultilevel"/>
    <w:tmpl w:val="0F1E3DB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D03F3D"/>
    <w:multiLevelType w:val="hybridMultilevel"/>
    <w:tmpl w:val="854E6C3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E746FB8"/>
    <w:multiLevelType w:val="hybridMultilevel"/>
    <w:tmpl w:val="6F1628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822272"/>
    <w:multiLevelType w:val="multilevel"/>
    <w:tmpl w:val="74C2AE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1" w15:restartNumberingAfterBreak="0">
    <w:nsid w:val="58E91984"/>
    <w:multiLevelType w:val="multilevel"/>
    <w:tmpl w:val="0A1AC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FB871C8"/>
    <w:multiLevelType w:val="hybridMultilevel"/>
    <w:tmpl w:val="45C86768"/>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5FBE4023"/>
    <w:multiLevelType w:val="hybridMultilevel"/>
    <w:tmpl w:val="A3CE92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13A168A"/>
    <w:multiLevelType w:val="multilevel"/>
    <w:tmpl w:val="B014613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5"/>
  </w:num>
  <w:num w:numId="3">
    <w:abstractNumId w:val="1"/>
  </w:num>
  <w:num w:numId="4">
    <w:abstractNumId w:val="14"/>
  </w:num>
  <w:num w:numId="5">
    <w:abstractNumId w:val="11"/>
  </w:num>
  <w:num w:numId="6">
    <w:abstractNumId w:val="10"/>
  </w:num>
  <w:num w:numId="7">
    <w:abstractNumId w:val="7"/>
  </w:num>
  <w:num w:numId="8">
    <w:abstractNumId w:val="9"/>
  </w:num>
  <w:num w:numId="9">
    <w:abstractNumId w:val="12"/>
  </w:num>
  <w:num w:numId="10">
    <w:abstractNumId w:val="13"/>
  </w:num>
  <w:num w:numId="11">
    <w:abstractNumId w:val="2"/>
  </w:num>
  <w:num w:numId="12">
    <w:abstractNumId w:val="4"/>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D0"/>
    <w:rsid w:val="00015209"/>
    <w:rsid w:val="000F4189"/>
    <w:rsid w:val="00125FAF"/>
    <w:rsid w:val="0013079D"/>
    <w:rsid w:val="001A25BD"/>
    <w:rsid w:val="001D7AC6"/>
    <w:rsid w:val="001F37EC"/>
    <w:rsid w:val="0020794F"/>
    <w:rsid w:val="00230B9D"/>
    <w:rsid w:val="00290758"/>
    <w:rsid w:val="00296F58"/>
    <w:rsid w:val="002E1B6B"/>
    <w:rsid w:val="002E63A5"/>
    <w:rsid w:val="002F232F"/>
    <w:rsid w:val="00301411"/>
    <w:rsid w:val="00317589"/>
    <w:rsid w:val="0033541A"/>
    <w:rsid w:val="003B7B38"/>
    <w:rsid w:val="00427EEA"/>
    <w:rsid w:val="004C770D"/>
    <w:rsid w:val="004E60F6"/>
    <w:rsid w:val="00524F54"/>
    <w:rsid w:val="00527AA3"/>
    <w:rsid w:val="0053139A"/>
    <w:rsid w:val="005B080B"/>
    <w:rsid w:val="00623352"/>
    <w:rsid w:val="0064668D"/>
    <w:rsid w:val="006C78A7"/>
    <w:rsid w:val="006E7C2D"/>
    <w:rsid w:val="006F5606"/>
    <w:rsid w:val="007157E0"/>
    <w:rsid w:val="0075771D"/>
    <w:rsid w:val="007619CF"/>
    <w:rsid w:val="007946C9"/>
    <w:rsid w:val="00795255"/>
    <w:rsid w:val="007D1F5B"/>
    <w:rsid w:val="008074CC"/>
    <w:rsid w:val="00842530"/>
    <w:rsid w:val="0087296F"/>
    <w:rsid w:val="008B62D0"/>
    <w:rsid w:val="008E1AD4"/>
    <w:rsid w:val="008E1BE7"/>
    <w:rsid w:val="008E1EFB"/>
    <w:rsid w:val="00900343"/>
    <w:rsid w:val="00904041"/>
    <w:rsid w:val="00950126"/>
    <w:rsid w:val="009B590F"/>
    <w:rsid w:val="009E373A"/>
    <w:rsid w:val="009F5DFB"/>
    <w:rsid w:val="00A8555A"/>
    <w:rsid w:val="00A95D31"/>
    <w:rsid w:val="00AC7625"/>
    <w:rsid w:val="00AD36F0"/>
    <w:rsid w:val="00AD7547"/>
    <w:rsid w:val="00B709F3"/>
    <w:rsid w:val="00B818F7"/>
    <w:rsid w:val="00C17489"/>
    <w:rsid w:val="00C20C97"/>
    <w:rsid w:val="00C466DE"/>
    <w:rsid w:val="00C50BBA"/>
    <w:rsid w:val="00C82695"/>
    <w:rsid w:val="00CB3BD7"/>
    <w:rsid w:val="00CC64E7"/>
    <w:rsid w:val="00CF2D7A"/>
    <w:rsid w:val="00D0149A"/>
    <w:rsid w:val="00D16B41"/>
    <w:rsid w:val="00D23AB4"/>
    <w:rsid w:val="00DE3B6F"/>
    <w:rsid w:val="00E041D2"/>
    <w:rsid w:val="00E06875"/>
    <w:rsid w:val="00E131A7"/>
    <w:rsid w:val="00E21395"/>
    <w:rsid w:val="00E23167"/>
    <w:rsid w:val="00E568C8"/>
    <w:rsid w:val="00EA74B9"/>
    <w:rsid w:val="00EB026C"/>
    <w:rsid w:val="00EF1FE7"/>
    <w:rsid w:val="00F35CD0"/>
    <w:rsid w:val="00F82A55"/>
    <w:rsid w:val="00F97C6E"/>
    <w:rsid w:val="00FC37CF"/>
    <w:rsid w:val="00FC69F8"/>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4BE7"/>
  <w15:docId w15:val="{EEB09BA3-C233-4F82-B630-7B47386C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C36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rsid w:val="0096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qFormat/>
    <w:rsid w:val="00C2235C"/>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uiPriority w:val="9"/>
    <w:qFormat/>
    <w:rsid w:val="00C2235C"/>
    <w:rPr>
      <w:rFonts w:ascii="Times New Roman" w:eastAsia="Times New Roman" w:hAnsi="Times New Roman" w:cs="Times New Roman"/>
      <w:b/>
      <w:bCs/>
      <w:sz w:val="27"/>
      <w:szCs w:val="27"/>
    </w:rPr>
  </w:style>
  <w:style w:type="character" w:styleId="Fett">
    <w:name w:val="Strong"/>
    <w:basedOn w:val="Absatz-Standardschriftart"/>
    <w:uiPriority w:val="22"/>
    <w:qFormat/>
    <w:rsid w:val="00C2235C"/>
    <w:rPr>
      <w:b/>
      <w:bCs/>
    </w:rPr>
  </w:style>
  <w:style w:type="character" w:customStyle="1" w:styleId="Internetverknpfung">
    <w:name w:val="Internetverknüpfung"/>
    <w:basedOn w:val="Absatz-Standardschriftart"/>
    <w:uiPriority w:val="99"/>
    <w:unhideWhenUsed/>
    <w:rsid w:val="00BD501E"/>
    <w:rPr>
      <w:color w:val="0000FF"/>
      <w:u w:val="single"/>
    </w:rPr>
  </w:style>
  <w:style w:type="character" w:customStyle="1" w:styleId="berschrift1Zchn">
    <w:name w:val="Überschrift 1 Zchn"/>
    <w:basedOn w:val="Absatz-Standardschriftart"/>
    <w:uiPriority w:val="9"/>
    <w:qFormat/>
    <w:rsid w:val="00C36E0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semiHidden/>
    <w:qFormat/>
    <w:rsid w:val="00967E50"/>
    <w:rPr>
      <w:rFonts w:asciiTheme="majorHAnsi" w:eastAsiaTheme="majorEastAsia" w:hAnsiTheme="majorHAnsi" w:cstheme="majorBidi"/>
      <w:color w:val="2F5496" w:themeColor="accent1" w:themeShade="BF"/>
      <w:sz w:val="26"/>
      <w:szCs w:val="26"/>
    </w:rPr>
  </w:style>
  <w:style w:type="character" w:customStyle="1" w:styleId="NichtaufgelsteErwhnung1">
    <w:name w:val="Nicht aufgelöste Erwähnung1"/>
    <w:basedOn w:val="Absatz-Standardschriftart"/>
    <w:uiPriority w:val="99"/>
    <w:semiHidden/>
    <w:unhideWhenUsed/>
    <w:qFormat/>
    <w:rsid w:val="00967E50"/>
    <w:rPr>
      <w:color w:val="605E5C"/>
      <w:shd w:val="clear" w:color="auto" w:fill="E1DFDD"/>
    </w:rPr>
  </w:style>
  <w:style w:type="character" w:styleId="Kommentarzeichen">
    <w:name w:val="annotation reference"/>
    <w:basedOn w:val="Absatz-Standardschriftart"/>
    <w:uiPriority w:val="99"/>
    <w:semiHidden/>
    <w:unhideWhenUsed/>
    <w:qFormat/>
    <w:rsid w:val="00A41583"/>
    <w:rPr>
      <w:sz w:val="16"/>
      <w:szCs w:val="16"/>
    </w:rPr>
  </w:style>
  <w:style w:type="character" w:customStyle="1" w:styleId="KommentartextZchn">
    <w:name w:val="Kommentartext Zchn"/>
    <w:basedOn w:val="Absatz-Standardschriftart"/>
    <w:link w:val="Kommentartext"/>
    <w:uiPriority w:val="99"/>
    <w:semiHidden/>
    <w:qFormat/>
    <w:rsid w:val="00A41583"/>
    <w:rPr>
      <w:sz w:val="20"/>
      <w:szCs w:val="20"/>
    </w:rPr>
  </w:style>
  <w:style w:type="character" w:customStyle="1" w:styleId="KommentarthemaZchn">
    <w:name w:val="Kommentarthema Zchn"/>
    <w:basedOn w:val="KommentartextZchn"/>
    <w:link w:val="Kommentarthema"/>
    <w:uiPriority w:val="99"/>
    <w:semiHidden/>
    <w:qFormat/>
    <w:rsid w:val="00A41583"/>
    <w:rPr>
      <w:b/>
      <w:bCs/>
      <w:sz w:val="20"/>
      <w:szCs w:val="20"/>
    </w:rPr>
  </w:style>
  <w:style w:type="character" w:customStyle="1" w:styleId="SprechblasentextZchn">
    <w:name w:val="Sprechblasentext Zchn"/>
    <w:basedOn w:val="Absatz-Standardschriftart"/>
    <w:link w:val="Sprechblasentext"/>
    <w:uiPriority w:val="99"/>
    <w:semiHidden/>
    <w:qFormat/>
    <w:rsid w:val="00A41583"/>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Homepage1">
    <w:name w:val="Homepage 1"/>
    <w:basedOn w:val="Standard"/>
    <w:qFormat/>
    <w:rsid w:val="003262E7"/>
    <w:pPr>
      <w:spacing w:after="0" w:line="240" w:lineRule="auto"/>
      <w:contextualSpacing/>
      <w:jc w:val="both"/>
    </w:pPr>
    <w:rPr>
      <w:rFonts w:ascii="Calibri" w:eastAsiaTheme="minorEastAsia" w:hAnsi="Calibri" w:cs="Calibri"/>
      <w:color w:val="595959" w:themeColor="text1" w:themeTint="A6"/>
      <w:lang w:val="de-DE" w:eastAsia="en-US"/>
    </w:rPr>
  </w:style>
  <w:style w:type="paragraph" w:styleId="StandardWeb">
    <w:name w:val="Normal (Web)"/>
    <w:basedOn w:val="Standard"/>
    <w:uiPriority w:val="99"/>
    <w:unhideWhenUsed/>
    <w:qFormat/>
    <w:rsid w:val="00397C8C"/>
    <w:pPr>
      <w:spacing w:beforeAutospacing="1"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99"/>
    <w:qFormat/>
    <w:rsid w:val="002666C5"/>
    <w:pPr>
      <w:ind w:left="720"/>
      <w:contextualSpacing/>
    </w:pPr>
  </w:style>
  <w:style w:type="paragraph" w:styleId="Kommentartext">
    <w:name w:val="annotation text"/>
    <w:basedOn w:val="Standard"/>
    <w:link w:val="KommentartextZchn"/>
    <w:uiPriority w:val="99"/>
    <w:semiHidden/>
    <w:unhideWhenUsed/>
    <w:qFormat/>
    <w:rsid w:val="00A4158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41583"/>
    <w:rPr>
      <w:b/>
      <w:bCs/>
    </w:rPr>
  </w:style>
  <w:style w:type="paragraph" w:styleId="Sprechblasentext">
    <w:name w:val="Balloon Text"/>
    <w:basedOn w:val="Standard"/>
    <w:link w:val="SprechblasentextZchn"/>
    <w:uiPriority w:val="99"/>
    <w:semiHidden/>
    <w:unhideWhenUsed/>
    <w:qFormat/>
    <w:rsid w:val="00A41583"/>
    <w:pPr>
      <w:spacing w:after="0" w:line="240" w:lineRule="auto"/>
    </w:pPr>
    <w:rPr>
      <w:rFonts w:ascii="Segoe UI" w:hAnsi="Segoe UI" w:cs="Segoe UI"/>
      <w:sz w:val="18"/>
      <w:szCs w:val="18"/>
    </w:rPr>
  </w:style>
  <w:style w:type="paragraph" w:styleId="Kopfzeile">
    <w:name w:val="header"/>
    <w:basedOn w:val="Standard"/>
    <w:link w:val="KopfzeileZchn"/>
    <w:uiPriority w:val="99"/>
    <w:unhideWhenUsed/>
    <w:rsid w:val="003354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41A"/>
    <w:rPr>
      <w:sz w:val="22"/>
    </w:rPr>
  </w:style>
  <w:style w:type="paragraph" w:styleId="Fuzeile">
    <w:name w:val="footer"/>
    <w:basedOn w:val="Standard"/>
    <w:link w:val="FuzeileZchn"/>
    <w:uiPriority w:val="99"/>
    <w:unhideWhenUsed/>
    <w:rsid w:val="0033541A"/>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33541A"/>
    <w:rPr>
      <w:sz w:val="22"/>
    </w:rPr>
  </w:style>
  <w:style w:type="paragraph" w:styleId="NurText">
    <w:name w:val="Plain Text"/>
    <w:basedOn w:val="Standard"/>
    <w:link w:val="NurTextZchn"/>
    <w:uiPriority w:val="99"/>
    <w:semiHidden/>
    <w:unhideWhenUsed/>
    <w:rsid w:val="00E21395"/>
    <w:pPr>
      <w:suppressAutoHyphens w:val="0"/>
      <w:spacing w:after="0" w:line="240" w:lineRule="auto"/>
    </w:pPr>
    <w:rPr>
      <w:rFonts w:ascii="Calibri" w:hAnsi="Calibri"/>
      <w:szCs w:val="21"/>
      <w:lang w:eastAsia="en-US"/>
    </w:rPr>
  </w:style>
  <w:style w:type="character" w:customStyle="1" w:styleId="NurTextZchn">
    <w:name w:val="Nur Text Zchn"/>
    <w:basedOn w:val="Absatz-Standardschriftart"/>
    <w:link w:val="NurText"/>
    <w:uiPriority w:val="99"/>
    <w:semiHidden/>
    <w:rsid w:val="00E21395"/>
    <w:rPr>
      <w:rFonts w:ascii="Calibri" w:hAnsi="Calibri"/>
      <w:sz w:val="22"/>
      <w:szCs w:val="21"/>
      <w:lang w:eastAsia="en-US"/>
    </w:rPr>
  </w:style>
  <w:style w:type="table" w:styleId="Tabellenraster">
    <w:name w:val="Table Grid"/>
    <w:basedOn w:val="NormaleTabelle"/>
    <w:uiPriority w:val="39"/>
    <w:rsid w:val="001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C64E7"/>
    <w:rPr>
      <w:color w:val="0563C1" w:themeColor="hyperlink"/>
      <w:u w:val="single"/>
    </w:rPr>
  </w:style>
  <w:style w:type="character" w:styleId="NichtaufgelsteErwhnung">
    <w:name w:val="Unresolved Mention"/>
    <w:basedOn w:val="Absatz-Standardschriftart"/>
    <w:uiPriority w:val="99"/>
    <w:semiHidden/>
    <w:unhideWhenUsed/>
    <w:rsid w:val="00CC64E7"/>
    <w:rPr>
      <w:color w:val="605E5C"/>
      <w:shd w:val="clear" w:color="auto" w:fill="E1DFDD"/>
    </w:rPr>
  </w:style>
  <w:style w:type="character" w:styleId="BesuchterLink">
    <w:name w:val="FollowedHyperlink"/>
    <w:basedOn w:val="Absatz-Standardschriftart"/>
    <w:uiPriority w:val="99"/>
    <w:semiHidden/>
    <w:unhideWhenUsed/>
    <w:rsid w:val="00CC6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land.at/wp-content/uploads/2021/12/Bedarfspruefung-Abt-AG-Putzhuber.pdf" TargetMode="External"/><Relationship Id="rId13" Type="http://schemas.openxmlformats.org/officeDocument/2006/relationships/hyperlink" Target="https://www.gemeindeland.at/wp-content/uploads/2021/12/1855-07-17-VO-Statthalterei-Verbot-Verkauf-Gemeindegu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vwg-tirol.gv.at/fileadmin/downloads/E_5980_anonym.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wg-tirol.gv.at/fileadmin/downloads/E-293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vwg-tirol.gv.at/fileadmin/downloads/E_4519_anonym.pdf" TargetMode="External"/><Relationship Id="rId4" Type="http://schemas.openxmlformats.org/officeDocument/2006/relationships/settings" Target="settings.xml"/><Relationship Id="rId9" Type="http://schemas.openxmlformats.org/officeDocument/2006/relationships/hyperlink" Target="https://www.gemeindeland.at/wp-content/uploads/2021/12/1932-Bescheid-Gemeideaufsicht-zu-Prutz.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C684-386F-419A-B063-1F040EBE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Lux</dc:creator>
  <dc:description/>
  <cp:lastModifiedBy>Puzik, Verena</cp:lastModifiedBy>
  <cp:revision>90</cp:revision>
  <cp:lastPrinted>2021-01-14T11:32:00Z</cp:lastPrinted>
  <dcterms:created xsi:type="dcterms:W3CDTF">2020-06-07T13:31:00Z</dcterms:created>
  <dcterms:modified xsi:type="dcterms:W3CDTF">2021-12-09T16:20:00Z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