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ED58B" w14:textId="23CDDC2E" w:rsidR="00F91715" w:rsidRPr="00234284" w:rsidRDefault="00F91715" w:rsidP="00D62C40">
      <w:pPr>
        <w:jc w:val="center"/>
        <w:rPr>
          <w:b/>
          <w:bCs/>
          <w:color w:val="C00000"/>
          <w:sz w:val="36"/>
          <w:szCs w:val="36"/>
        </w:rPr>
      </w:pPr>
      <w:r w:rsidRPr="00234284">
        <w:rPr>
          <w:b/>
          <w:bCs/>
          <w:color w:val="C00000"/>
          <w:sz w:val="36"/>
          <w:szCs w:val="36"/>
        </w:rPr>
        <w:t>Die Rechtsprechung des Verwaltungsgerichtshofs zur Hauptteilung</w:t>
      </w:r>
    </w:p>
    <w:p w14:paraId="1756E586" w14:textId="77777777" w:rsidR="001961B3" w:rsidRDefault="001961B3" w:rsidP="007D13E6">
      <w:pPr>
        <w:pStyle w:val="51Abs"/>
        <w:spacing w:after="240" w:line="276" w:lineRule="auto"/>
        <w:ind w:firstLine="0"/>
        <w:rPr>
          <w:rFonts w:asciiTheme="minorHAnsi" w:hAnsiTheme="minorHAnsi" w:cstheme="minorHAnsi"/>
          <w:sz w:val="24"/>
          <w:szCs w:val="24"/>
        </w:rPr>
      </w:pPr>
    </w:p>
    <w:p w14:paraId="13DA5ACA" w14:textId="2B848E61" w:rsidR="00DC6497" w:rsidRPr="007D13E6" w:rsidRDefault="00DC6497" w:rsidP="00B25480">
      <w:pPr>
        <w:pStyle w:val="51Abs"/>
        <w:spacing w:after="240" w:line="276" w:lineRule="auto"/>
        <w:ind w:firstLine="0"/>
        <w:jc w:val="left"/>
        <w:rPr>
          <w:rFonts w:asciiTheme="minorHAnsi" w:hAnsiTheme="minorHAnsi" w:cstheme="minorHAnsi"/>
          <w:sz w:val="24"/>
          <w:szCs w:val="24"/>
        </w:rPr>
      </w:pPr>
      <w:r w:rsidRPr="00DC6497">
        <w:rPr>
          <w:rFonts w:asciiTheme="minorHAnsi" w:hAnsiTheme="minorHAnsi" w:cstheme="minorHAnsi"/>
          <w:sz w:val="24"/>
          <w:szCs w:val="24"/>
        </w:rPr>
        <w:t xml:space="preserve">§ 42 Abs 2 TFLG 1996 </w:t>
      </w:r>
      <w:r w:rsidR="00913792">
        <w:rPr>
          <w:rFonts w:asciiTheme="minorHAnsi" w:hAnsiTheme="minorHAnsi" w:cstheme="minorHAnsi"/>
          <w:sz w:val="24"/>
          <w:szCs w:val="24"/>
        </w:rPr>
        <w:t>definiert</w:t>
      </w:r>
      <w:r w:rsidRPr="00DC6497">
        <w:rPr>
          <w:rFonts w:asciiTheme="minorHAnsi" w:hAnsiTheme="minorHAnsi" w:cstheme="minorHAnsi"/>
          <w:sz w:val="24"/>
          <w:szCs w:val="24"/>
        </w:rPr>
        <w:t xml:space="preserve"> </w:t>
      </w:r>
      <w:r>
        <w:rPr>
          <w:rFonts w:asciiTheme="minorHAnsi" w:hAnsiTheme="minorHAnsi" w:cstheme="minorHAnsi"/>
          <w:sz w:val="24"/>
          <w:szCs w:val="24"/>
        </w:rPr>
        <w:t>d</w:t>
      </w:r>
      <w:r w:rsidRPr="00DC6497">
        <w:rPr>
          <w:rFonts w:asciiTheme="minorHAnsi" w:hAnsiTheme="minorHAnsi" w:cstheme="minorHAnsi"/>
          <w:sz w:val="24"/>
          <w:szCs w:val="24"/>
        </w:rPr>
        <w:t xml:space="preserve">ie </w:t>
      </w:r>
      <w:r w:rsidR="00913792">
        <w:rPr>
          <w:rFonts w:asciiTheme="minorHAnsi" w:hAnsiTheme="minorHAnsi" w:cstheme="minorHAnsi"/>
          <w:sz w:val="24"/>
          <w:szCs w:val="24"/>
        </w:rPr>
        <w:t>in den §§ 42 bis 4</w:t>
      </w:r>
      <w:r w:rsidR="006A2AE2">
        <w:rPr>
          <w:rFonts w:asciiTheme="minorHAnsi" w:hAnsiTheme="minorHAnsi" w:cstheme="minorHAnsi"/>
          <w:sz w:val="24"/>
          <w:szCs w:val="24"/>
        </w:rPr>
        <w:t>8</w:t>
      </w:r>
      <w:r w:rsidR="00913792">
        <w:rPr>
          <w:rFonts w:asciiTheme="minorHAnsi" w:hAnsiTheme="minorHAnsi" w:cstheme="minorHAnsi"/>
          <w:sz w:val="24"/>
          <w:szCs w:val="24"/>
        </w:rPr>
        <w:t xml:space="preserve"> TFLG geregelte </w:t>
      </w:r>
      <w:bookmarkStart w:id="0" w:name="_Hlk65694442"/>
      <w:r w:rsidRPr="00DC6497">
        <w:rPr>
          <w:rFonts w:asciiTheme="minorHAnsi" w:hAnsiTheme="minorHAnsi" w:cstheme="minorHAnsi"/>
          <w:sz w:val="24"/>
          <w:szCs w:val="24"/>
        </w:rPr>
        <w:t xml:space="preserve">Hauptteilung </w:t>
      </w:r>
      <w:r w:rsidR="00913792">
        <w:rPr>
          <w:rFonts w:asciiTheme="minorHAnsi" w:hAnsiTheme="minorHAnsi" w:cstheme="minorHAnsi"/>
          <w:sz w:val="24"/>
          <w:szCs w:val="24"/>
        </w:rPr>
        <w:t>als</w:t>
      </w:r>
      <w:r w:rsidRPr="00DC6497">
        <w:rPr>
          <w:rFonts w:asciiTheme="minorHAnsi" w:hAnsiTheme="minorHAnsi" w:cstheme="minorHAnsi"/>
          <w:sz w:val="24"/>
          <w:szCs w:val="24"/>
        </w:rPr>
        <w:t xml:space="preserve"> </w:t>
      </w:r>
      <w:r w:rsidR="00913792">
        <w:rPr>
          <w:rFonts w:asciiTheme="minorHAnsi" w:hAnsiTheme="minorHAnsi" w:cstheme="minorHAnsi"/>
          <w:sz w:val="24"/>
          <w:szCs w:val="24"/>
        </w:rPr>
        <w:t>„</w:t>
      </w:r>
      <w:r w:rsidRPr="00DC6497">
        <w:rPr>
          <w:rFonts w:asciiTheme="minorHAnsi" w:hAnsiTheme="minorHAnsi" w:cstheme="minorHAnsi"/>
          <w:sz w:val="24"/>
          <w:szCs w:val="24"/>
        </w:rPr>
        <w:t>Auseinandersetzung zwischen der Gemeinde (Ortschaft oder Gemeindeteil) und einer Agrargemeinschaft oder zwischen mehreren Agrargemeinschaften</w:t>
      </w:r>
      <w:r w:rsidR="00913792">
        <w:rPr>
          <w:rFonts w:asciiTheme="minorHAnsi" w:hAnsiTheme="minorHAnsi" w:cstheme="minorHAnsi"/>
          <w:sz w:val="24"/>
          <w:szCs w:val="24"/>
        </w:rPr>
        <w:t>“</w:t>
      </w:r>
      <w:r w:rsidRPr="00DC6497">
        <w:rPr>
          <w:rFonts w:asciiTheme="minorHAnsi" w:hAnsiTheme="minorHAnsi" w:cstheme="minorHAnsi"/>
          <w:sz w:val="24"/>
          <w:szCs w:val="24"/>
        </w:rPr>
        <w:t>.</w:t>
      </w:r>
      <w:r w:rsidR="006A2AE2">
        <w:rPr>
          <w:rFonts w:asciiTheme="minorHAnsi" w:hAnsiTheme="minorHAnsi" w:cstheme="minorHAnsi"/>
          <w:sz w:val="24"/>
          <w:szCs w:val="24"/>
        </w:rPr>
        <w:t xml:space="preserve"> Die Hauptteilung führt zum Ausscheiden der Gemeinde aus der Agrargemeinschaft und stets zur Aufteilung des Gemeindeguts in Grundflächen, die einerseits im nicht durch Nutzungsrechte belasteten Alleineigentum der Gemeinde und andererseit</w:t>
      </w:r>
      <w:r w:rsidR="00032F39">
        <w:rPr>
          <w:rFonts w:asciiTheme="minorHAnsi" w:hAnsiTheme="minorHAnsi" w:cstheme="minorHAnsi"/>
          <w:sz w:val="24"/>
          <w:szCs w:val="24"/>
        </w:rPr>
        <w:t>s</w:t>
      </w:r>
      <w:r w:rsidR="006A2AE2">
        <w:rPr>
          <w:rFonts w:asciiTheme="minorHAnsi" w:hAnsiTheme="minorHAnsi" w:cstheme="minorHAnsi"/>
          <w:sz w:val="24"/>
          <w:szCs w:val="24"/>
        </w:rPr>
        <w:t xml:space="preserve"> im Alleineigentum der fortbestehenden Agrargemeinschaft stehen </w:t>
      </w:r>
      <w:bookmarkEnd w:id="0"/>
      <w:r w:rsidR="006A2AE2">
        <w:rPr>
          <w:rFonts w:asciiTheme="minorHAnsi" w:hAnsiTheme="minorHAnsi" w:cstheme="minorHAnsi"/>
          <w:sz w:val="24"/>
          <w:szCs w:val="24"/>
        </w:rPr>
        <w:t xml:space="preserve">(§ 42 Abs 5 TFLG 1996; </w:t>
      </w:r>
      <w:proofErr w:type="spellStart"/>
      <w:r w:rsidR="006A2AE2" w:rsidRPr="006A2AE2">
        <w:rPr>
          <w:rFonts w:asciiTheme="minorHAnsi" w:hAnsiTheme="minorHAnsi" w:cstheme="minorHAnsi"/>
          <w:sz w:val="24"/>
          <w:szCs w:val="24"/>
        </w:rPr>
        <w:t>vgl</w:t>
      </w:r>
      <w:proofErr w:type="spellEnd"/>
      <w:r w:rsidR="006A2AE2" w:rsidRPr="006A2AE2">
        <w:rPr>
          <w:rFonts w:asciiTheme="minorHAnsi" w:hAnsiTheme="minorHAnsi" w:cstheme="minorHAnsi"/>
          <w:sz w:val="24"/>
          <w:szCs w:val="24"/>
        </w:rPr>
        <w:t xml:space="preserve"> </w:t>
      </w:r>
      <w:r w:rsidR="006A2AE2" w:rsidRPr="00000AC6">
        <w:rPr>
          <w:rFonts w:asciiTheme="minorHAnsi" w:hAnsiTheme="minorHAnsi" w:cstheme="minorHAnsi"/>
          <w:i/>
          <w:iCs/>
          <w:sz w:val="24"/>
          <w:szCs w:val="24"/>
        </w:rPr>
        <w:t>Kienberger</w:t>
      </w:r>
      <w:r w:rsidR="006A2AE2" w:rsidRPr="006A2AE2">
        <w:rPr>
          <w:rFonts w:asciiTheme="minorHAnsi" w:hAnsiTheme="minorHAnsi" w:cstheme="minorHAnsi"/>
          <w:sz w:val="24"/>
          <w:szCs w:val="24"/>
        </w:rPr>
        <w:t>, Das Gemeindegut als Verfassungsproblem</w:t>
      </w:r>
      <w:r w:rsidR="006A2AE2">
        <w:rPr>
          <w:rFonts w:asciiTheme="minorHAnsi" w:hAnsiTheme="minorHAnsi" w:cstheme="minorHAnsi"/>
          <w:sz w:val="24"/>
          <w:szCs w:val="24"/>
        </w:rPr>
        <w:t xml:space="preserve"> [LexisNexis 2018]</w:t>
      </w:r>
      <w:r w:rsidR="006A2AE2" w:rsidRPr="006A2AE2">
        <w:rPr>
          <w:rFonts w:asciiTheme="minorHAnsi" w:hAnsiTheme="minorHAnsi" w:cstheme="minorHAnsi"/>
          <w:sz w:val="24"/>
          <w:szCs w:val="24"/>
        </w:rPr>
        <w:t>, Kap. VII./B./7., S 55</w:t>
      </w:r>
      <w:r w:rsidR="006A2AE2">
        <w:rPr>
          <w:rFonts w:asciiTheme="minorHAnsi" w:hAnsiTheme="minorHAnsi" w:cstheme="minorHAnsi"/>
          <w:sz w:val="24"/>
          <w:szCs w:val="24"/>
        </w:rPr>
        <w:t>).</w:t>
      </w:r>
    </w:p>
    <w:p w14:paraId="5C55DBD6" w14:textId="01FFD816" w:rsidR="00F91715" w:rsidRPr="006200DD" w:rsidRDefault="00F91715" w:rsidP="00B25480">
      <w:pPr>
        <w:pStyle w:val="erltext"/>
        <w:spacing w:line="276" w:lineRule="auto"/>
        <w:rPr>
          <w:rFonts w:asciiTheme="minorHAnsi" w:hAnsiTheme="minorHAnsi" w:cstheme="minorHAnsi"/>
          <w:b/>
          <w:bCs/>
        </w:rPr>
      </w:pPr>
      <w:r>
        <w:rPr>
          <w:rFonts w:asciiTheme="minorHAnsi" w:hAnsiTheme="minorHAnsi" w:cstheme="minorHAnsi"/>
        </w:rPr>
        <w:t>F</w:t>
      </w:r>
      <w:r w:rsidR="00355036" w:rsidRPr="00F91715">
        <w:rPr>
          <w:rFonts w:asciiTheme="minorHAnsi" w:hAnsiTheme="minorHAnsi" w:cstheme="minorHAnsi"/>
        </w:rPr>
        <w:t xml:space="preserve">ür die Annahme, es sei eine Hauptteilung vorgenommen worden und damit die Eigenschaft des </w:t>
      </w:r>
      <w:r w:rsidR="00913792">
        <w:rPr>
          <w:rFonts w:asciiTheme="minorHAnsi" w:hAnsiTheme="minorHAnsi" w:cstheme="minorHAnsi"/>
        </w:rPr>
        <w:t xml:space="preserve">betroffenen </w:t>
      </w:r>
      <w:r w:rsidR="00355036" w:rsidRPr="00F91715">
        <w:rPr>
          <w:rFonts w:asciiTheme="minorHAnsi" w:hAnsiTheme="minorHAnsi" w:cstheme="minorHAnsi"/>
        </w:rPr>
        <w:t xml:space="preserve">Gebietes als Gemeindegut beendet, </w:t>
      </w:r>
      <w:r w:rsidRPr="00F91715">
        <w:rPr>
          <w:rFonts w:asciiTheme="minorHAnsi" w:hAnsiTheme="minorHAnsi" w:cstheme="minorHAnsi"/>
        </w:rPr>
        <w:t xml:space="preserve">kommt es </w:t>
      </w:r>
      <w:r w:rsidR="00355036" w:rsidRPr="00F91715">
        <w:rPr>
          <w:rFonts w:asciiTheme="minorHAnsi" w:hAnsiTheme="minorHAnsi" w:cstheme="minorHAnsi"/>
        </w:rPr>
        <w:t xml:space="preserve">nicht auf den Titel des Aktes, </w:t>
      </w:r>
      <w:r w:rsidR="00913792">
        <w:rPr>
          <w:rFonts w:asciiTheme="minorHAnsi" w:hAnsiTheme="minorHAnsi" w:cstheme="minorHAnsi"/>
        </w:rPr>
        <w:t>sondern</w:t>
      </w:r>
      <w:r w:rsidR="00355036" w:rsidRPr="00F91715">
        <w:rPr>
          <w:rFonts w:asciiTheme="minorHAnsi" w:hAnsiTheme="minorHAnsi" w:cstheme="minorHAnsi"/>
        </w:rPr>
        <w:t xml:space="preserve"> vielmehr auf den Inhalt der mit ihm verfügten rechtserheblichen Vorgänge an.</w:t>
      </w:r>
      <w:r w:rsidR="007D13E6" w:rsidRPr="00F91715">
        <w:rPr>
          <w:rFonts w:asciiTheme="minorHAnsi" w:hAnsiTheme="minorHAnsi" w:cstheme="minorHAnsi"/>
        </w:rPr>
        <w:t xml:space="preserve"> </w:t>
      </w:r>
      <w:r w:rsidRPr="00F91715">
        <w:rPr>
          <w:rFonts w:asciiTheme="minorHAnsi" w:hAnsiTheme="minorHAnsi" w:cstheme="minorHAnsi"/>
        </w:rPr>
        <w:t xml:space="preserve">Diese </w:t>
      </w:r>
      <w:r w:rsidRPr="006200DD">
        <w:rPr>
          <w:rFonts w:asciiTheme="minorHAnsi" w:hAnsiTheme="minorHAnsi" w:cstheme="minorHAnsi"/>
        </w:rPr>
        <w:t xml:space="preserve">Prüfung hat naturgemäß immer einzelfallbezogen zu erfolgen. </w:t>
      </w:r>
    </w:p>
    <w:p w14:paraId="385A5547" w14:textId="18EE4BC5" w:rsidR="00355036" w:rsidRDefault="00355036" w:rsidP="00F91715">
      <w:pPr>
        <w:pStyle w:val="erltext"/>
        <w:spacing w:line="276" w:lineRule="auto"/>
        <w:jc w:val="both"/>
        <w:rPr>
          <w:rFonts w:asciiTheme="minorHAnsi" w:hAnsiTheme="minorHAnsi" w:cstheme="minorHAnsi"/>
          <w:b/>
          <w:bCs/>
        </w:rPr>
      </w:pPr>
      <w:r w:rsidRPr="006200DD">
        <w:rPr>
          <w:rFonts w:asciiTheme="minorHAnsi" w:hAnsiTheme="minorHAnsi" w:cstheme="minorHAnsi"/>
          <w:b/>
          <w:bCs/>
          <w:u w:val="single"/>
        </w:rPr>
        <w:t xml:space="preserve">Dabei sind </w:t>
      </w:r>
      <w:r w:rsidR="00F91715" w:rsidRPr="006200DD">
        <w:rPr>
          <w:rFonts w:asciiTheme="minorHAnsi" w:hAnsiTheme="minorHAnsi" w:cstheme="minorHAnsi"/>
          <w:b/>
          <w:bCs/>
          <w:u w:val="single"/>
        </w:rPr>
        <w:t xml:space="preserve">nach der ständigen Rechtsprechung des Verwaltungsgerichtshofes </w:t>
      </w:r>
      <w:r w:rsidRPr="006200DD">
        <w:rPr>
          <w:rFonts w:asciiTheme="minorHAnsi" w:hAnsiTheme="minorHAnsi" w:cstheme="minorHAnsi"/>
          <w:b/>
          <w:bCs/>
          <w:u w:val="single"/>
        </w:rPr>
        <w:t>folgende Aspekte als entscheidend anzusehen</w:t>
      </w:r>
      <w:r w:rsidRPr="006200DD">
        <w:rPr>
          <w:rFonts w:asciiTheme="minorHAnsi" w:hAnsiTheme="minorHAnsi" w:cstheme="minorHAnsi"/>
          <w:b/>
          <w:bCs/>
        </w:rPr>
        <w:t>:</w:t>
      </w:r>
      <w:r w:rsidR="007D13E6" w:rsidRPr="006200DD">
        <w:rPr>
          <w:rFonts w:asciiTheme="minorHAnsi" w:hAnsiTheme="minorHAnsi" w:cstheme="minorHAnsi"/>
          <w:b/>
          <w:bCs/>
        </w:rPr>
        <w:t xml:space="preserve"> </w:t>
      </w:r>
    </w:p>
    <w:p w14:paraId="7BE1D839" w14:textId="59E47EA6" w:rsidR="002F1971" w:rsidRPr="00234284" w:rsidRDefault="009F6B2A" w:rsidP="00000AC6">
      <w:pPr>
        <w:pStyle w:val="erltext"/>
        <w:numPr>
          <w:ilvl w:val="0"/>
          <w:numId w:val="11"/>
        </w:numPr>
        <w:jc w:val="both"/>
        <w:rPr>
          <w:rFonts w:asciiTheme="minorHAnsi" w:hAnsiTheme="minorHAnsi" w:cstheme="minorHAnsi"/>
          <w:b/>
          <w:bCs/>
          <w:sz w:val="28"/>
          <w:szCs w:val="28"/>
        </w:rPr>
      </w:pPr>
      <w:r w:rsidRPr="00234284">
        <w:rPr>
          <w:rFonts w:asciiTheme="minorHAnsi" w:hAnsiTheme="minorHAnsi" w:cstheme="minorHAnsi"/>
          <w:b/>
          <w:bCs/>
          <w:sz w:val="28"/>
          <w:szCs w:val="28"/>
        </w:rPr>
        <w:t xml:space="preserve">Notwendigkeit der </w:t>
      </w:r>
      <w:r w:rsidR="002F1971" w:rsidRPr="00234284">
        <w:rPr>
          <w:rFonts w:asciiTheme="minorHAnsi" w:hAnsiTheme="minorHAnsi" w:cstheme="minorHAnsi"/>
          <w:b/>
          <w:bCs/>
          <w:sz w:val="28"/>
          <w:szCs w:val="28"/>
        </w:rPr>
        <w:t>Erfassung des gesamten Gemeindeguts</w:t>
      </w:r>
    </w:p>
    <w:p w14:paraId="5286B4D5" w14:textId="2F0BDEEB" w:rsidR="007D13E6" w:rsidRDefault="00355036" w:rsidP="00D62C40">
      <w:pPr>
        <w:pStyle w:val="erltext"/>
        <w:numPr>
          <w:ilvl w:val="0"/>
          <w:numId w:val="8"/>
        </w:numPr>
        <w:spacing w:before="0" w:beforeAutospacing="0" w:after="120" w:afterAutospacing="0" w:line="276" w:lineRule="auto"/>
        <w:ind w:left="357" w:hanging="357"/>
        <w:rPr>
          <w:rFonts w:asciiTheme="minorHAnsi" w:hAnsiTheme="minorHAnsi" w:cstheme="minorHAnsi"/>
        </w:rPr>
      </w:pPr>
      <w:r>
        <w:rPr>
          <w:rFonts w:asciiTheme="minorHAnsi" w:hAnsiTheme="minorHAnsi" w:cstheme="minorHAnsi"/>
        </w:rPr>
        <w:t>D</w:t>
      </w:r>
      <w:r w:rsidRPr="00A02E02">
        <w:rPr>
          <w:rFonts w:asciiTheme="minorHAnsi" w:hAnsiTheme="minorHAnsi" w:cstheme="minorHAnsi"/>
        </w:rPr>
        <w:t xml:space="preserve">ie Hauptteilung </w:t>
      </w:r>
      <w:r>
        <w:rPr>
          <w:rFonts w:asciiTheme="minorHAnsi" w:hAnsiTheme="minorHAnsi" w:cstheme="minorHAnsi"/>
        </w:rPr>
        <w:t xml:space="preserve">hat </w:t>
      </w:r>
      <w:r w:rsidRPr="00A02E02">
        <w:rPr>
          <w:rFonts w:asciiTheme="minorHAnsi" w:hAnsiTheme="minorHAnsi" w:cstheme="minorHAnsi"/>
        </w:rPr>
        <w:t xml:space="preserve">das gesamte Gemeindegut </w:t>
      </w:r>
      <w:r>
        <w:rPr>
          <w:rFonts w:asciiTheme="minorHAnsi" w:hAnsiTheme="minorHAnsi" w:cstheme="minorHAnsi"/>
        </w:rPr>
        <w:t xml:space="preserve">zu erfassen, </w:t>
      </w:r>
      <w:r w:rsidR="00913792">
        <w:rPr>
          <w:rFonts w:asciiTheme="minorHAnsi" w:hAnsiTheme="minorHAnsi" w:cstheme="minorHAnsi"/>
        </w:rPr>
        <w:t>da</w:t>
      </w:r>
      <w:r>
        <w:rPr>
          <w:rFonts w:asciiTheme="minorHAnsi" w:hAnsiTheme="minorHAnsi" w:cstheme="minorHAnsi"/>
        </w:rPr>
        <w:t xml:space="preserve"> </w:t>
      </w:r>
      <w:r w:rsidRPr="00E9112E">
        <w:rPr>
          <w:rFonts w:ascii="Calibri" w:hAnsi="Calibri" w:cs="Calibri"/>
        </w:rPr>
        <w:t xml:space="preserve">sich </w:t>
      </w:r>
      <w:r w:rsidR="00913792">
        <w:rPr>
          <w:rFonts w:ascii="Calibri" w:hAnsi="Calibri" w:cs="Calibri"/>
        </w:rPr>
        <w:t xml:space="preserve">eine Hauptteilung oder </w:t>
      </w:r>
      <w:r w:rsidRPr="00E9112E">
        <w:rPr>
          <w:rFonts w:ascii="Calibri" w:hAnsi="Calibri" w:cs="Calibri"/>
        </w:rPr>
        <w:t xml:space="preserve">ein </w:t>
      </w:r>
      <w:r w:rsidR="00913792">
        <w:rPr>
          <w:rFonts w:ascii="Calibri" w:hAnsi="Calibri" w:cs="Calibri"/>
        </w:rPr>
        <w:t>„</w:t>
      </w:r>
      <w:r w:rsidRPr="00E9112E">
        <w:rPr>
          <w:rFonts w:ascii="Calibri" w:hAnsi="Calibri" w:cs="Calibri"/>
        </w:rPr>
        <w:t>einer Hauptteilung gleichkommender Akt</w:t>
      </w:r>
      <w:r w:rsidR="00913792">
        <w:rPr>
          <w:rFonts w:ascii="Calibri" w:hAnsi="Calibri" w:cs="Calibri"/>
        </w:rPr>
        <w:t>“</w:t>
      </w:r>
      <w:r w:rsidRPr="00E9112E">
        <w:rPr>
          <w:rFonts w:ascii="Calibri" w:hAnsi="Calibri" w:cs="Calibri"/>
        </w:rPr>
        <w:t xml:space="preserve"> </w:t>
      </w:r>
      <w:r w:rsidRPr="009C296C">
        <w:rPr>
          <w:rFonts w:ascii="Calibri" w:hAnsi="Calibri" w:cs="Calibri"/>
          <w:u w:val="single"/>
        </w:rPr>
        <w:t xml:space="preserve">allein </w:t>
      </w:r>
      <w:r w:rsidR="00913792">
        <w:rPr>
          <w:rFonts w:ascii="Calibri" w:hAnsi="Calibri" w:cs="Calibri"/>
          <w:u w:val="single"/>
        </w:rPr>
        <w:t xml:space="preserve">und ausschließlich </w:t>
      </w:r>
      <w:r w:rsidRPr="009C296C">
        <w:rPr>
          <w:rFonts w:ascii="Calibri" w:hAnsi="Calibri" w:cs="Calibri"/>
          <w:u w:val="single"/>
        </w:rPr>
        <w:t>auf die Grundstücke, deren Gemeindegutseigenschaft feststeht, beziehen muss</w:t>
      </w:r>
      <w:r w:rsidRPr="00E9112E">
        <w:rPr>
          <w:rFonts w:ascii="Calibri" w:hAnsi="Calibri" w:cs="Calibri"/>
        </w:rPr>
        <w:t>.</w:t>
      </w:r>
      <w:r w:rsidR="00000AC6">
        <w:rPr>
          <w:rFonts w:ascii="Calibri" w:hAnsi="Calibri" w:cs="Calibri"/>
        </w:rPr>
        <w:t xml:space="preserve"> Von Nutzungsrechten unbelastete Gemeindegrundstücke dürfen in das Verfahre nicht einbezogen werden.</w:t>
      </w:r>
    </w:p>
    <w:p w14:paraId="4FC37420" w14:textId="62353B19" w:rsidR="00582354" w:rsidRPr="00F544B9" w:rsidRDefault="002F1971" w:rsidP="00000AC6">
      <w:pPr>
        <w:pStyle w:val="erltext"/>
        <w:numPr>
          <w:ilvl w:val="0"/>
          <w:numId w:val="8"/>
        </w:numPr>
        <w:spacing w:before="0" w:beforeAutospacing="0" w:line="276" w:lineRule="auto"/>
        <w:rPr>
          <w:rFonts w:asciiTheme="minorHAnsi" w:hAnsiTheme="minorHAnsi" w:cstheme="minorHAnsi"/>
        </w:rPr>
      </w:pPr>
      <w:r w:rsidRPr="00A02E02">
        <w:rPr>
          <w:rFonts w:asciiTheme="minorHAnsi" w:hAnsiTheme="minorHAnsi" w:cstheme="minorHAnsi"/>
        </w:rPr>
        <w:t>Ein Regulierungsbescheid, der zwar mit "Hauptteilung" überschrieben ist, inhaltlich aber nur die Belassung von (schon bestande</w:t>
      </w:r>
      <w:r w:rsidR="00F91715">
        <w:rPr>
          <w:rFonts w:asciiTheme="minorHAnsi" w:hAnsiTheme="minorHAnsi" w:cstheme="minorHAnsi"/>
        </w:rPr>
        <w:t>nem</w:t>
      </w:r>
      <w:r w:rsidRPr="00A02E02">
        <w:rPr>
          <w:rFonts w:asciiTheme="minorHAnsi" w:hAnsiTheme="minorHAnsi" w:cstheme="minorHAnsi"/>
        </w:rPr>
        <w:t xml:space="preserve">) Gemeindevermögen bei der Gemeinde umfasst, also nichts mit der Hauptteilung von Gemeindegut zu tun hat, kann nicht dazu führen, dass </w:t>
      </w:r>
      <w:r w:rsidR="00000AC6">
        <w:rPr>
          <w:rFonts w:asciiTheme="minorHAnsi" w:hAnsiTheme="minorHAnsi" w:cstheme="minorHAnsi"/>
        </w:rPr>
        <w:t>„</w:t>
      </w:r>
      <w:r w:rsidRPr="00A02E02">
        <w:rPr>
          <w:rFonts w:asciiTheme="minorHAnsi" w:hAnsiTheme="minorHAnsi" w:cstheme="minorHAnsi"/>
        </w:rPr>
        <w:t xml:space="preserve">wegen einer Hauptteilung" die Qualifikation als Gemeindegutsagrargemeinschaft </w:t>
      </w:r>
      <w:proofErr w:type="spellStart"/>
      <w:r w:rsidRPr="00A02E02">
        <w:rPr>
          <w:rFonts w:asciiTheme="minorHAnsi" w:hAnsiTheme="minorHAnsi" w:cstheme="minorHAnsi"/>
        </w:rPr>
        <w:t>iSd</w:t>
      </w:r>
      <w:proofErr w:type="spellEnd"/>
      <w:r w:rsidRPr="00A02E02">
        <w:rPr>
          <w:rFonts w:asciiTheme="minorHAnsi" w:hAnsiTheme="minorHAnsi" w:cstheme="minorHAnsi"/>
        </w:rPr>
        <w:t xml:space="preserve"> §</w:t>
      </w:r>
      <w:r>
        <w:rPr>
          <w:rFonts w:asciiTheme="minorHAnsi" w:hAnsiTheme="minorHAnsi" w:cstheme="minorHAnsi"/>
        </w:rPr>
        <w:t> </w:t>
      </w:r>
      <w:r w:rsidRPr="00A02E02">
        <w:rPr>
          <w:rFonts w:asciiTheme="minorHAnsi" w:hAnsiTheme="minorHAnsi" w:cstheme="minorHAnsi"/>
        </w:rPr>
        <w:t xml:space="preserve">33 Abs 2 </w:t>
      </w:r>
      <w:proofErr w:type="spellStart"/>
      <w:r w:rsidRPr="00A02E02">
        <w:rPr>
          <w:rFonts w:asciiTheme="minorHAnsi" w:hAnsiTheme="minorHAnsi" w:cstheme="minorHAnsi"/>
        </w:rPr>
        <w:t>lit</w:t>
      </w:r>
      <w:proofErr w:type="spellEnd"/>
      <w:r w:rsidRPr="00A02E02">
        <w:rPr>
          <w:rFonts w:asciiTheme="minorHAnsi" w:hAnsiTheme="minorHAnsi" w:cstheme="minorHAnsi"/>
        </w:rPr>
        <w:t xml:space="preserve"> c Z 2 </w:t>
      </w:r>
      <w:r w:rsidR="00913792">
        <w:rPr>
          <w:rFonts w:asciiTheme="minorHAnsi" w:hAnsiTheme="minorHAnsi" w:cstheme="minorHAnsi"/>
        </w:rPr>
        <w:t>TFLG</w:t>
      </w:r>
      <w:r w:rsidRPr="00A02E02">
        <w:rPr>
          <w:rFonts w:asciiTheme="minorHAnsi" w:hAnsiTheme="minorHAnsi" w:cstheme="minorHAnsi"/>
        </w:rPr>
        <w:t xml:space="preserve"> 1996 weg</w:t>
      </w:r>
      <w:r w:rsidR="006B1CA3" w:rsidRPr="00CF1D0F">
        <w:rPr>
          <w:rFonts w:asciiTheme="minorHAnsi" w:hAnsiTheme="minorHAnsi" w:cstheme="minorHAnsi"/>
        </w:rPr>
        <w:t>fällt</w:t>
      </w:r>
      <w:r w:rsidR="00CF1D0F">
        <w:rPr>
          <w:rFonts w:asciiTheme="minorHAnsi" w:hAnsiTheme="minorHAnsi" w:cstheme="minorHAnsi"/>
        </w:rPr>
        <w:t xml:space="preserve"> </w:t>
      </w:r>
      <w:r w:rsidR="00000AC6">
        <w:rPr>
          <w:rFonts w:asciiTheme="minorHAnsi" w:hAnsiTheme="minorHAnsi" w:cstheme="minorHAnsi"/>
        </w:rPr>
        <w:t>(siehe</w:t>
      </w:r>
      <w:r w:rsidR="00F81E9A">
        <w:rPr>
          <w:rFonts w:asciiTheme="minorHAnsi" w:hAnsiTheme="minorHAnsi" w:cstheme="minorHAnsi"/>
        </w:rPr>
        <w:t xml:space="preserve"> </w:t>
      </w:r>
      <w:r w:rsidR="00CF1D0F">
        <w:rPr>
          <w:rFonts w:asciiTheme="minorHAnsi" w:hAnsiTheme="minorHAnsi" w:cstheme="minorHAnsi"/>
        </w:rPr>
        <w:t>HISTORIE/</w:t>
      </w:r>
      <w:r w:rsidR="00000AC6" w:rsidRPr="00CF1D0F">
        <w:rPr>
          <w:rFonts w:asciiTheme="minorHAnsi" w:hAnsiTheme="minorHAnsi" w:cstheme="minorHAnsi"/>
        </w:rPr>
        <w:t>Feststellungsverfahren</w:t>
      </w:r>
      <w:r w:rsidR="00000AC6">
        <w:rPr>
          <w:rFonts w:asciiTheme="minorHAnsi" w:hAnsiTheme="minorHAnsi" w:cstheme="minorHAnsi"/>
        </w:rPr>
        <w:t>)</w:t>
      </w:r>
      <w:r w:rsidR="00CF1D0F">
        <w:rPr>
          <w:rFonts w:asciiTheme="minorHAnsi" w:hAnsiTheme="minorHAnsi" w:cstheme="minorHAnsi"/>
        </w:rPr>
        <w:t>.</w:t>
      </w:r>
    </w:p>
    <w:p w14:paraId="281D61A2" w14:textId="2DDB9114" w:rsidR="007D13E6" w:rsidRPr="00234284" w:rsidRDefault="009F6B2A" w:rsidP="00000AC6">
      <w:pPr>
        <w:pStyle w:val="erltext"/>
        <w:numPr>
          <w:ilvl w:val="0"/>
          <w:numId w:val="11"/>
        </w:numPr>
        <w:rPr>
          <w:rFonts w:ascii="Calibri" w:hAnsi="Calibri" w:cs="Calibri"/>
          <w:b/>
          <w:bCs/>
          <w:sz w:val="28"/>
          <w:szCs w:val="28"/>
        </w:rPr>
      </w:pPr>
      <w:bookmarkStart w:id="1" w:name="_Hlk83829274"/>
      <w:r w:rsidRPr="00234284">
        <w:rPr>
          <w:rFonts w:ascii="Calibri" w:hAnsi="Calibri" w:cs="Calibri"/>
          <w:b/>
          <w:bCs/>
          <w:sz w:val="28"/>
          <w:szCs w:val="28"/>
        </w:rPr>
        <w:t>Zwingende Durchführung einer v</w:t>
      </w:r>
      <w:r w:rsidR="007D13E6" w:rsidRPr="00234284">
        <w:rPr>
          <w:rFonts w:ascii="Calibri" w:hAnsi="Calibri" w:cs="Calibri"/>
          <w:b/>
          <w:bCs/>
          <w:sz w:val="28"/>
          <w:szCs w:val="28"/>
        </w:rPr>
        <w:t>ermögensrechtliche</w:t>
      </w:r>
      <w:r w:rsidR="003E3B0D" w:rsidRPr="00234284">
        <w:rPr>
          <w:rFonts w:ascii="Calibri" w:hAnsi="Calibri" w:cs="Calibri"/>
          <w:b/>
          <w:bCs/>
          <w:sz w:val="28"/>
          <w:szCs w:val="28"/>
        </w:rPr>
        <w:t>n</w:t>
      </w:r>
      <w:r w:rsidR="007D13E6" w:rsidRPr="00234284">
        <w:rPr>
          <w:rFonts w:ascii="Calibri" w:hAnsi="Calibri" w:cs="Calibri"/>
          <w:b/>
          <w:bCs/>
          <w:sz w:val="28"/>
          <w:szCs w:val="28"/>
        </w:rPr>
        <w:t xml:space="preserve"> Auseinandersetzung zwischen Gemeinde und Agrargemeinschaft mit Wertermittlung und wertadäquater Abfindung für die Rechte der Gemeinde</w:t>
      </w:r>
    </w:p>
    <w:bookmarkEnd w:id="1"/>
    <w:p w14:paraId="6FBDBBF3" w14:textId="138BF638" w:rsidR="002F1971" w:rsidRDefault="002F1971" w:rsidP="00D62C40">
      <w:pPr>
        <w:pStyle w:val="erltext"/>
        <w:numPr>
          <w:ilvl w:val="0"/>
          <w:numId w:val="9"/>
        </w:numPr>
        <w:spacing w:before="0" w:beforeAutospacing="0" w:after="120" w:afterAutospacing="0" w:line="276" w:lineRule="auto"/>
        <w:ind w:left="357" w:hanging="357"/>
        <w:rPr>
          <w:rFonts w:ascii="Calibri" w:hAnsi="Calibri" w:cs="Calibri"/>
        </w:rPr>
      </w:pPr>
      <w:r>
        <w:rPr>
          <w:rFonts w:ascii="Calibri" w:hAnsi="Calibri" w:cs="Calibri"/>
        </w:rPr>
        <w:t xml:space="preserve">Es </w:t>
      </w:r>
      <w:r w:rsidRPr="00E9112E">
        <w:rPr>
          <w:rFonts w:ascii="Calibri" w:hAnsi="Calibri" w:cs="Calibri"/>
        </w:rPr>
        <w:t>muss eine entsprechende Auseinandersetzung zwischen den Vertragsparteien (u</w:t>
      </w:r>
      <w:r w:rsidR="00913792">
        <w:rPr>
          <w:rFonts w:ascii="Calibri" w:hAnsi="Calibri" w:cs="Calibri"/>
        </w:rPr>
        <w:t>nter anderem</w:t>
      </w:r>
      <w:r w:rsidRPr="00E9112E">
        <w:rPr>
          <w:rFonts w:ascii="Calibri" w:hAnsi="Calibri" w:cs="Calibri"/>
        </w:rPr>
        <w:t xml:space="preserve"> mit Ermittlung des Werts der Grundflächen des Gemeindeguts und der Zutei</w:t>
      </w:r>
      <w:r w:rsidR="00D62C40">
        <w:rPr>
          <w:rFonts w:ascii="Calibri" w:hAnsi="Calibri" w:cs="Calibri"/>
        </w:rPr>
        <w:softHyphen/>
      </w:r>
      <w:r w:rsidRPr="00E9112E">
        <w:rPr>
          <w:rFonts w:ascii="Calibri" w:hAnsi="Calibri" w:cs="Calibri"/>
        </w:rPr>
        <w:t xml:space="preserve">lung unbelasteten Grundes an die Gemeinde als Folge der Entlastung der Grundflächen) </w:t>
      </w:r>
      <w:r w:rsidRPr="00E9112E">
        <w:rPr>
          <w:rFonts w:ascii="Calibri" w:hAnsi="Calibri" w:cs="Calibri"/>
        </w:rPr>
        <w:lastRenderedPageBreak/>
        <w:t xml:space="preserve">stattgefunden haben. </w:t>
      </w:r>
      <w:r>
        <w:rPr>
          <w:rFonts w:ascii="Calibri" w:hAnsi="Calibri" w:cs="Calibri"/>
        </w:rPr>
        <w:t xml:space="preserve">Mit anderen Worten </w:t>
      </w:r>
      <w:r w:rsidRPr="009C296C">
        <w:rPr>
          <w:rFonts w:ascii="Calibri" w:hAnsi="Calibri" w:cs="Calibri"/>
          <w:u w:val="single"/>
        </w:rPr>
        <w:t>muss die Gemeinde dem Wert ihrer (festgestellten) Rechte entsprechend abgefunden werden</w:t>
      </w:r>
      <w:r w:rsidRPr="00E9112E">
        <w:rPr>
          <w:rFonts w:ascii="Calibri" w:hAnsi="Calibri" w:cs="Calibri"/>
        </w:rPr>
        <w:t xml:space="preserve">. </w:t>
      </w:r>
    </w:p>
    <w:p w14:paraId="29E03F3E" w14:textId="4039684C" w:rsidR="00913792" w:rsidRDefault="00913792" w:rsidP="00D62C40">
      <w:pPr>
        <w:pStyle w:val="erltext"/>
        <w:numPr>
          <w:ilvl w:val="0"/>
          <w:numId w:val="9"/>
        </w:numPr>
        <w:spacing w:before="0" w:beforeAutospacing="0" w:after="120" w:afterAutospacing="0" w:line="276" w:lineRule="auto"/>
        <w:ind w:left="357" w:hanging="357"/>
        <w:rPr>
          <w:rFonts w:ascii="Calibri" w:hAnsi="Calibri" w:cs="Calibri"/>
        </w:rPr>
      </w:pPr>
      <w:r>
        <w:rPr>
          <w:rFonts w:ascii="Calibri" w:hAnsi="Calibri" w:cs="Calibri"/>
        </w:rPr>
        <w:t>Findet also keine oder nur eine unverhältnismäßig</w:t>
      </w:r>
      <w:r w:rsidR="003725BF">
        <w:rPr>
          <w:rFonts w:ascii="Calibri" w:hAnsi="Calibri" w:cs="Calibri"/>
        </w:rPr>
        <w:t xml:space="preserve"> geringfügig</w:t>
      </w:r>
      <w:r>
        <w:rPr>
          <w:rFonts w:ascii="Calibri" w:hAnsi="Calibri" w:cs="Calibri"/>
        </w:rPr>
        <w:t>e Abfindung der Gemeinde statt, so liegt keine zum Untergang der Gemeindegutseigenschaft führende Hauptteilung vor.</w:t>
      </w:r>
    </w:p>
    <w:p w14:paraId="3A6AF241" w14:textId="33DC81E7" w:rsidR="002F1971" w:rsidRPr="00234284" w:rsidRDefault="002F1971" w:rsidP="00D62C40">
      <w:pPr>
        <w:pStyle w:val="erltext"/>
        <w:numPr>
          <w:ilvl w:val="0"/>
          <w:numId w:val="9"/>
        </w:numPr>
        <w:spacing w:line="276" w:lineRule="auto"/>
        <w:rPr>
          <w:rFonts w:asciiTheme="minorHAnsi" w:hAnsiTheme="minorHAnsi" w:cstheme="minorHAnsi"/>
        </w:rPr>
      </w:pPr>
      <w:r>
        <w:rPr>
          <w:rFonts w:asciiTheme="minorHAnsi" w:hAnsiTheme="minorHAnsi" w:cstheme="minorHAnsi"/>
        </w:rPr>
        <w:t xml:space="preserve">Daher </w:t>
      </w:r>
      <w:r w:rsidRPr="00A02E02">
        <w:rPr>
          <w:rFonts w:asciiTheme="minorHAnsi" w:hAnsiTheme="minorHAnsi" w:cstheme="minorHAnsi"/>
        </w:rPr>
        <w:t xml:space="preserve">verliert </w:t>
      </w:r>
      <w:r>
        <w:rPr>
          <w:rFonts w:asciiTheme="minorHAnsi" w:hAnsiTheme="minorHAnsi" w:cstheme="minorHAnsi"/>
        </w:rPr>
        <w:t>e</w:t>
      </w:r>
      <w:r w:rsidRPr="00A02E02">
        <w:rPr>
          <w:rFonts w:asciiTheme="minorHAnsi" w:hAnsiTheme="minorHAnsi" w:cstheme="minorHAnsi"/>
        </w:rPr>
        <w:t xml:space="preserve">in Hauptteilungsplan, wenn ein (nicht unbeträchtlicher) Teil der von ihm betroffenen Grundstücke keine Abfindung für die Rechte der Gemeinde am Gemeindegut darstellen kann, den Charakter eines "Hauptteilungsplanes" </w:t>
      </w:r>
      <w:proofErr w:type="spellStart"/>
      <w:r w:rsidRPr="00A02E02">
        <w:rPr>
          <w:rFonts w:asciiTheme="minorHAnsi" w:hAnsiTheme="minorHAnsi" w:cstheme="minorHAnsi"/>
        </w:rPr>
        <w:t>iSd</w:t>
      </w:r>
      <w:proofErr w:type="spellEnd"/>
      <w:r w:rsidRPr="00A02E02">
        <w:rPr>
          <w:rFonts w:asciiTheme="minorHAnsi" w:hAnsiTheme="minorHAnsi" w:cstheme="minorHAnsi"/>
        </w:rPr>
        <w:t xml:space="preserve"> § 33 Abs. 2 </w:t>
      </w:r>
      <w:proofErr w:type="spellStart"/>
      <w:r w:rsidRPr="00A02E02">
        <w:rPr>
          <w:rFonts w:asciiTheme="minorHAnsi" w:hAnsiTheme="minorHAnsi" w:cstheme="minorHAnsi"/>
        </w:rPr>
        <w:t>lit</w:t>
      </w:r>
      <w:proofErr w:type="spellEnd"/>
      <w:r w:rsidRPr="00A02E02">
        <w:rPr>
          <w:rFonts w:asciiTheme="minorHAnsi" w:hAnsiTheme="minorHAnsi" w:cstheme="minorHAnsi"/>
        </w:rPr>
        <w:t xml:space="preserve">. c Z 2 Tir </w:t>
      </w:r>
      <w:proofErr w:type="spellStart"/>
      <w:r w:rsidRPr="00234284">
        <w:rPr>
          <w:rFonts w:asciiTheme="minorHAnsi" w:hAnsiTheme="minorHAnsi" w:cstheme="minorHAnsi"/>
        </w:rPr>
        <w:t>FlVfLG</w:t>
      </w:r>
      <w:proofErr w:type="spellEnd"/>
      <w:r w:rsidRPr="00234284">
        <w:rPr>
          <w:rFonts w:asciiTheme="minorHAnsi" w:hAnsiTheme="minorHAnsi" w:cstheme="minorHAnsi"/>
        </w:rPr>
        <w:t xml:space="preserve"> 1996.</w:t>
      </w:r>
    </w:p>
    <w:p w14:paraId="1B09B1F3" w14:textId="5B597FE2" w:rsidR="007D13E6" w:rsidRPr="00234284" w:rsidRDefault="009F6B2A" w:rsidP="00000AC6">
      <w:pPr>
        <w:pStyle w:val="erltext"/>
        <w:numPr>
          <w:ilvl w:val="0"/>
          <w:numId w:val="11"/>
        </w:numPr>
        <w:jc w:val="both"/>
        <w:rPr>
          <w:rFonts w:ascii="Calibri" w:hAnsi="Calibri" w:cs="Calibri"/>
          <w:b/>
          <w:bCs/>
          <w:sz w:val="28"/>
          <w:szCs w:val="28"/>
        </w:rPr>
      </w:pPr>
      <w:r w:rsidRPr="00234284">
        <w:rPr>
          <w:rFonts w:ascii="Calibri" w:hAnsi="Calibri" w:cs="Calibri"/>
          <w:b/>
          <w:bCs/>
          <w:sz w:val="28"/>
          <w:szCs w:val="28"/>
        </w:rPr>
        <w:t>Vorliegen eines b</w:t>
      </w:r>
      <w:r w:rsidR="007D13E6" w:rsidRPr="00234284">
        <w:rPr>
          <w:rFonts w:ascii="Calibri" w:hAnsi="Calibri" w:cs="Calibri"/>
          <w:b/>
          <w:bCs/>
          <w:sz w:val="28"/>
          <w:szCs w:val="28"/>
        </w:rPr>
        <w:t>ehördliche</w:t>
      </w:r>
      <w:r w:rsidRPr="00234284">
        <w:rPr>
          <w:rFonts w:ascii="Calibri" w:hAnsi="Calibri" w:cs="Calibri"/>
          <w:b/>
          <w:bCs/>
          <w:sz w:val="28"/>
          <w:szCs w:val="28"/>
        </w:rPr>
        <w:t>n</w:t>
      </w:r>
      <w:r w:rsidR="007D13E6" w:rsidRPr="00234284">
        <w:rPr>
          <w:rFonts w:ascii="Calibri" w:hAnsi="Calibri" w:cs="Calibri"/>
          <w:b/>
          <w:bCs/>
          <w:sz w:val="28"/>
          <w:szCs w:val="28"/>
        </w:rPr>
        <w:t xml:space="preserve"> Akt</w:t>
      </w:r>
      <w:r w:rsidRPr="00234284">
        <w:rPr>
          <w:rFonts w:ascii="Calibri" w:hAnsi="Calibri" w:cs="Calibri"/>
          <w:b/>
          <w:bCs/>
          <w:sz w:val="28"/>
          <w:szCs w:val="28"/>
        </w:rPr>
        <w:t>s</w:t>
      </w:r>
    </w:p>
    <w:p w14:paraId="5520BB0C" w14:textId="1BA2BD27" w:rsidR="00F91715" w:rsidRDefault="002F1971" w:rsidP="00832EE8">
      <w:pPr>
        <w:pStyle w:val="erltext"/>
        <w:numPr>
          <w:ilvl w:val="0"/>
          <w:numId w:val="10"/>
        </w:numPr>
        <w:spacing w:after="120" w:afterAutospacing="0" w:line="276" w:lineRule="auto"/>
        <w:ind w:left="357" w:hanging="357"/>
        <w:rPr>
          <w:rFonts w:ascii="Calibri" w:hAnsi="Calibri" w:cs="Calibri"/>
        </w:rPr>
      </w:pPr>
      <w:r w:rsidRPr="00E9112E">
        <w:rPr>
          <w:rFonts w:ascii="Calibri" w:hAnsi="Calibri" w:cs="Calibri"/>
        </w:rPr>
        <w:t xml:space="preserve">Weiters notwendig ist </w:t>
      </w:r>
      <w:bookmarkStart w:id="2" w:name="_Hlk83829336"/>
      <w:r w:rsidR="00B25480">
        <w:rPr>
          <w:rFonts w:ascii="Calibri" w:hAnsi="Calibri" w:cs="Calibri"/>
        </w:rPr>
        <w:t>das Vorliegen eines</w:t>
      </w:r>
      <w:r w:rsidRPr="00E9112E">
        <w:rPr>
          <w:rFonts w:ascii="Calibri" w:hAnsi="Calibri" w:cs="Calibri"/>
        </w:rPr>
        <w:t xml:space="preserve"> behördliche</w:t>
      </w:r>
      <w:r w:rsidR="00B25480">
        <w:rPr>
          <w:rFonts w:ascii="Calibri" w:hAnsi="Calibri" w:cs="Calibri"/>
        </w:rPr>
        <w:t xml:space="preserve">n </w:t>
      </w:r>
      <w:r w:rsidRPr="00E9112E">
        <w:rPr>
          <w:rFonts w:ascii="Calibri" w:hAnsi="Calibri" w:cs="Calibri"/>
        </w:rPr>
        <w:t>Akt</w:t>
      </w:r>
      <w:r w:rsidR="00B25480">
        <w:rPr>
          <w:rFonts w:ascii="Calibri" w:hAnsi="Calibri" w:cs="Calibri"/>
        </w:rPr>
        <w:t>s</w:t>
      </w:r>
      <w:bookmarkEnd w:id="2"/>
      <w:r w:rsidRPr="00E9112E">
        <w:rPr>
          <w:rFonts w:ascii="Calibri" w:hAnsi="Calibri" w:cs="Calibri"/>
        </w:rPr>
        <w:t xml:space="preserve">, wie </w:t>
      </w:r>
      <w:proofErr w:type="spellStart"/>
      <w:r w:rsidRPr="00E9112E">
        <w:rPr>
          <w:rFonts w:ascii="Calibri" w:hAnsi="Calibri" w:cs="Calibri"/>
        </w:rPr>
        <w:t>zB</w:t>
      </w:r>
      <w:proofErr w:type="spellEnd"/>
      <w:r w:rsidRPr="00E9112E">
        <w:rPr>
          <w:rFonts w:ascii="Calibri" w:hAnsi="Calibri" w:cs="Calibri"/>
        </w:rPr>
        <w:t xml:space="preserve"> - abgesehen von einer bescheidmäßigen Hauptteilung, die den "Idealfall" darstellt - die agrarbehördliche Genehmigung eines Parteienübereinkommens. </w:t>
      </w:r>
      <w:r w:rsidR="00832EE8" w:rsidRPr="00E9112E">
        <w:rPr>
          <w:rFonts w:ascii="Calibri" w:hAnsi="Calibri" w:cs="Calibri"/>
        </w:rPr>
        <w:t>Entscheidend ist aber stets, ob es zu einer entsprechenden Vermögensauseinandersetzung gekommen ist, die zum Ergebnis hatte, dass die Gemeinde dem Wert ihrer (festgestellten) Rechte entsprechend abgefunden wurde</w:t>
      </w:r>
      <w:r w:rsidR="00832EE8">
        <w:rPr>
          <w:rFonts w:ascii="Calibri" w:hAnsi="Calibri" w:cs="Calibri"/>
        </w:rPr>
        <w:t>.</w:t>
      </w:r>
    </w:p>
    <w:p w14:paraId="4FA7E480" w14:textId="7A8F8B4C" w:rsidR="000338F6" w:rsidRPr="000338F6" w:rsidRDefault="002F1971" w:rsidP="00D62C40">
      <w:pPr>
        <w:pStyle w:val="erltext"/>
        <w:numPr>
          <w:ilvl w:val="0"/>
          <w:numId w:val="10"/>
        </w:numPr>
        <w:spacing w:after="120" w:afterAutospacing="0" w:line="276" w:lineRule="auto"/>
        <w:ind w:left="357" w:hanging="357"/>
        <w:jc w:val="both"/>
        <w:rPr>
          <w:rFonts w:ascii="Calibri" w:hAnsi="Calibri" w:cs="Calibri"/>
          <w:b/>
          <w:bCs/>
        </w:rPr>
      </w:pPr>
      <w:r w:rsidRPr="000338F6">
        <w:rPr>
          <w:rFonts w:ascii="Calibri" w:hAnsi="Calibri" w:cs="Calibri"/>
        </w:rPr>
        <w:t xml:space="preserve">Nur ein solcherart </w:t>
      </w:r>
      <w:bookmarkStart w:id="3" w:name="_Hlk83829368"/>
      <w:r w:rsidRPr="000338F6">
        <w:rPr>
          <w:rFonts w:ascii="Calibri" w:hAnsi="Calibri" w:cs="Calibri"/>
        </w:rPr>
        <w:t xml:space="preserve">die Eigenschaft als Gemeindegut beendender, rechtskräftiger Akt </w:t>
      </w:r>
      <w:bookmarkEnd w:id="3"/>
      <w:r w:rsidRPr="000338F6">
        <w:rPr>
          <w:rFonts w:ascii="Calibri" w:hAnsi="Calibri" w:cs="Calibri"/>
        </w:rPr>
        <w:t>kann zum Wegfall der Qualifikation als Gemeindegutsagrargemeinschaft führen</w:t>
      </w:r>
      <w:r w:rsidR="009F6B2A" w:rsidRPr="000338F6">
        <w:rPr>
          <w:rFonts w:ascii="Calibri" w:hAnsi="Calibri" w:cs="Calibri"/>
        </w:rPr>
        <w:t>.</w:t>
      </w:r>
      <w:r w:rsidR="000338F6" w:rsidRPr="000338F6">
        <w:rPr>
          <w:rFonts w:ascii="Calibri" w:hAnsi="Calibri" w:cs="Calibri"/>
        </w:rPr>
        <w:t xml:space="preserve"> </w:t>
      </w:r>
    </w:p>
    <w:p w14:paraId="770C1E87" w14:textId="77777777" w:rsidR="009C6660" w:rsidRPr="00582354" w:rsidRDefault="009C6660" w:rsidP="009C6660">
      <w:pPr>
        <w:pStyle w:val="erltext"/>
        <w:spacing w:after="0" w:afterAutospacing="0"/>
        <w:jc w:val="both"/>
        <w:rPr>
          <w:rFonts w:asciiTheme="minorHAnsi" w:hAnsiTheme="minorHAnsi" w:cstheme="minorHAnsi"/>
        </w:rPr>
      </w:pPr>
      <w:r w:rsidRPr="00582354">
        <w:rPr>
          <w:rFonts w:asciiTheme="minorHAnsi" w:hAnsiTheme="minorHAnsi" w:cstheme="minorHAnsi"/>
        </w:rPr>
        <w:t>Siehe dazu:</w:t>
      </w:r>
    </w:p>
    <w:p w14:paraId="764D484E" w14:textId="0DDE23B3" w:rsidR="00D62C40" w:rsidRPr="00B872CC" w:rsidRDefault="00100091" w:rsidP="009C6660">
      <w:pPr>
        <w:pStyle w:val="erltext"/>
        <w:numPr>
          <w:ilvl w:val="0"/>
          <w:numId w:val="7"/>
        </w:numPr>
        <w:ind w:left="360"/>
        <w:rPr>
          <w:rFonts w:asciiTheme="minorHAnsi" w:hAnsiTheme="minorHAnsi" w:cstheme="minorHAnsi"/>
          <w:color w:val="FF0000"/>
          <w:sz w:val="20"/>
          <w:szCs w:val="20"/>
        </w:rPr>
      </w:pPr>
      <w:hyperlink r:id="rId8" w:history="1">
        <w:r w:rsidR="00D62C40" w:rsidRPr="00100091">
          <w:rPr>
            <w:rStyle w:val="Hyperlink"/>
            <w:rFonts w:asciiTheme="minorHAnsi" w:hAnsiTheme="minorHAnsi" w:cstheme="minorHAnsi"/>
            <w:sz w:val="20"/>
            <w:szCs w:val="20"/>
          </w:rPr>
          <w:t>Rechtssätze aus VwGH</w:t>
        </w:r>
        <w:r w:rsidR="00D62C40" w:rsidRPr="00100091">
          <w:rPr>
            <w:rStyle w:val="Hyperlink"/>
            <w:rFonts w:asciiTheme="minorHAnsi" w:hAnsiTheme="minorHAnsi" w:cstheme="minorHAnsi"/>
            <w:b/>
            <w:bCs/>
            <w:sz w:val="20"/>
            <w:szCs w:val="20"/>
          </w:rPr>
          <w:t xml:space="preserve"> </w:t>
        </w:r>
        <w:r w:rsidR="00D62C40" w:rsidRPr="00100091">
          <w:rPr>
            <w:rStyle w:val="Hyperlink"/>
            <w:rFonts w:asciiTheme="minorHAnsi" w:hAnsiTheme="minorHAnsi" w:cstheme="minorHAnsi"/>
            <w:sz w:val="20"/>
            <w:szCs w:val="20"/>
          </w:rPr>
          <w:t>2011</w:t>
        </w:r>
        <w:r w:rsidR="006408C7" w:rsidRPr="00100091">
          <w:rPr>
            <w:rStyle w:val="Hyperlink"/>
            <w:rFonts w:asciiTheme="minorHAnsi" w:hAnsiTheme="minorHAnsi" w:cstheme="minorHAnsi"/>
            <w:sz w:val="20"/>
            <w:szCs w:val="20"/>
          </w:rPr>
          <w:t>-</w:t>
        </w:r>
        <w:r w:rsidR="00D62C40" w:rsidRPr="00100091">
          <w:rPr>
            <w:rStyle w:val="Hyperlink"/>
            <w:rFonts w:asciiTheme="minorHAnsi" w:hAnsiTheme="minorHAnsi" w:cstheme="minorHAnsi"/>
            <w:sz w:val="20"/>
            <w:szCs w:val="20"/>
          </w:rPr>
          <w:t>07/0183 [</w:t>
        </w:r>
        <w:proofErr w:type="spellStart"/>
        <w:r w:rsidR="00D62C40" w:rsidRPr="00100091">
          <w:rPr>
            <w:rStyle w:val="Hyperlink"/>
            <w:rFonts w:asciiTheme="minorHAnsi" w:hAnsiTheme="minorHAnsi" w:cstheme="minorHAnsi"/>
            <w:sz w:val="20"/>
            <w:szCs w:val="20"/>
          </w:rPr>
          <w:t>Häselgehr</w:t>
        </w:r>
        <w:proofErr w:type="spellEnd"/>
        <w:r w:rsidR="00D62C40" w:rsidRPr="00100091">
          <w:rPr>
            <w:rStyle w:val="Hyperlink"/>
            <w:rFonts w:asciiTheme="minorHAnsi" w:hAnsiTheme="minorHAnsi" w:cstheme="minorHAnsi"/>
            <w:sz w:val="20"/>
            <w:szCs w:val="20"/>
          </w:rPr>
          <w:t>]</w:t>
        </w:r>
      </w:hyperlink>
      <w:r w:rsidR="00D62C40" w:rsidRPr="00B872CC">
        <w:rPr>
          <w:rFonts w:asciiTheme="minorHAnsi" w:hAnsiTheme="minorHAnsi" w:cstheme="minorHAnsi"/>
          <w:b/>
          <w:bCs/>
          <w:color w:val="FF0000"/>
          <w:sz w:val="20"/>
          <w:szCs w:val="20"/>
        </w:rPr>
        <w:t xml:space="preserve"> </w:t>
      </w:r>
    </w:p>
    <w:p w14:paraId="4C374D6D" w14:textId="1562FBD4" w:rsidR="00F15533" w:rsidRPr="00B872CC" w:rsidRDefault="00100091" w:rsidP="009C6660">
      <w:pPr>
        <w:pStyle w:val="erltext"/>
        <w:numPr>
          <w:ilvl w:val="0"/>
          <w:numId w:val="7"/>
        </w:numPr>
        <w:ind w:left="360"/>
        <w:rPr>
          <w:rFonts w:asciiTheme="minorHAnsi" w:hAnsiTheme="minorHAnsi" w:cstheme="minorHAnsi"/>
          <w:b/>
          <w:bCs/>
          <w:i/>
          <w:iCs/>
          <w:color w:val="2E74B5" w:themeColor="accent5" w:themeShade="BF"/>
          <w:sz w:val="20"/>
          <w:szCs w:val="20"/>
        </w:rPr>
      </w:pPr>
      <w:hyperlink r:id="rId9" w:history="1">
        <w:r w:rsidR="00F15533" w:rsidRPr="00100091">
          <w:rPr>
            <w:rStyle w:val="Hyperlink"/>
            <w:rFonts w:asciiTheme="minorHAnsi" w:hAnsiTheme="minorHAnsi" w:cstheme="minorHAnsi"/>
            <w:sz w:val="20"/>
            <w:szCs w:val="20"/>
          </w:rPr>
          <w:t>Rechtssätze aus VwG</w:t>
        </w:r>
        <w:r w:rsidR="00F15533" w:rsidRPr="00100091">
          <w:rPr>
            <w:rStyle w:val="Hyperlink"/>
            <w:rFonts w:asciiTheme="minorHAnsi" w:hAnsiTheme="minorHAnsi" w:cstheme="minorHAnsi"/>
            <w:b/>
            <w:bCs/>
            <w:sz w:val="20"/>
            <w:szCs w:val="20"/>
          </w:rPr>
          <w:t xml:space="preserve">H </w:t>
        </w:r>
        <w:r w:rsidR="00F15533" w:rsidRPr="00100091">
          <w:rPr>
            <w:rStyle w:val="Hyperlink"/>
            <w:rFonts w:asciiTheme="minorHAnsi" w:hAnsiTheme="minorHAnsi" w:cstheme="minorHAnsi"/>
            <w:sz w:val="20"/>
            <w:szCs w:val="20"/>
          </w:rPr>
          <w:t>2012/07/0</w:t>
        </w:r>
        <w:r w:rsidR="00F15533" w:rsidRPr="00100091">
          <w:rPr>
            <w:rStyle w:val="Hyperlink"/>
            <w:rFonts w:asciiTheme="minorHAnsi" w:hAnsiTheme="minorHAnsi" w:cstheme="minorHAnsi"/>
            <w:sz w:val="20"/>
            <w:szCs w:val="20"/>
          </w:rPr>
          <w:t>0</w:t>
        </w:r>
        <w:r w:rsidR="00F15533" w:rsidRPr="00100091">
          <w:rPr>
            <w:rStyle w:val="Hyperlink"/>
            <w:rFonts w:asciiTheme="minorHAnsi" w:hAnsiTheme="minorHAnsi" w:cstheme="minorHAnsi"/>
            <w:sz w:val="20"/>
            <w:szCs w:val="20"/>
          </w:rPr>
          <w:t>23-8 [</w:t>
        </w:r>
        <w:proofErr w:type="spellStart"/>
        <w:r w:rsidR="00F15533" w:rsidRPr="00100091">
          <w:rPr>
            <w:rStyle w:val="Hyperlink"/>
            <w:rFonts w:asciiTheme="minorHAnsi" w:hAnsiTheme="minorHAnsi" w:cstheme="minorHAnsi"/>
            <w:sz w:val="20"/>
            <w:szCs w:val="20"/>
          </w:rPr>
          <w:t>Schlaiten</w:t>
        </w:r>
        <w:proofErr w:type="spellEnd"/>
        <w:r w:rsidR="00F15533" w:rsidRPr="00100091">
          <w:rPr>
            <w:rStyle w:val="Hyperlink"/>
            <w:rFonts w:asciiTheme="minorHAnsi" w:hAnsiTheme="minorHAnsi" w:cstheme="minorHAnsi"/>
            <w:sz w:val="20"/>
            <w:szCs w:val="20"/>
          </w:rPr>
          <w:t>]</w:t>
        </w:r>
      </w:hyperlink>
      <w:r w:rsidR="00F15533" w:rsidRPr="00B872CC">
        <w:rPr>
          <w:rFonts w:asciiTheme="minorHAnsi" w:hAnsiTheme="minorHAnsi" w:cstheme="minorHAnsi"/>
          <w:b/>
          <w:bCs/>
          <w:color w:val="FF0000"/>
          <w:sz w:val="20"/>
          <w:szCs w:val="20"/>
        </w:rPr>
        <w:t xml:space="preserve"> </w:t>
      </w:r>
    </w:p>
    <w:p w14:paraId="26FC254B" w14:textId="382BCF92" w:rsidR="009C6660" w:rsidRPr="00B872CC" w:rsidRDefault="00100091" w:rsidP="009C6660">
      <w:pPr>
        <w:pStyle w:val="erltext"/>
        <w:numPr>
          <w:ilvl w:val="0"/>
          <w:numId w:val="7"/>
        </w:numPr>
        <w:ind w:left="360"/>
        <w:rPr>
          <w:rFonts w:asciiTheme="minorHAnsi" w:hAnsiTheme="minorHAnsi" w:cstheme="minorHAnsi"/>
          <w:color w:val="FF0000"/>
          <w:sz w:val="20"/>
          <w:szCs w:val="20"/>
        </w:rPr>
      </w:pPr>
      <w:hyperlink r:id="rId10" w:history="1">
        <w:r w:rsidR="009C6660" w:rsidRPr="00100091">
          <w:rPr>
            <w:rStyle w:val="Hyperlink"/>
            <w:rFonts w:asciiTheme="minorHAnsi" w:hAnsiTheme="minorHAnsi" w:cstheme="minorHAnsi"/>
            <w:sz w:val="20"/>
            <w:szCs w:val="20"/>
          </w:rPr>
          <w:t>VwGH</w:t>
        </w:r>
        <w:r w:rsidR="009C6660" w:rsidRPr="00100091">
          <w:rPr>
            <w:rStyle w:val="Hyperlink"/>
            <w:rFonts w:asciiTheme="minorHAnsi" w:hAnsiTheme="minorHAnsi" w:cstheme="minorHAnsi"/>
            <w:b/>
            <w:bCs/>
            <w:sz w:val="20"/>
            <w:szCs w:val="20"/>
          </w:rPr>
          <w:t xml:space="preserve"> </w:t>
        </w:r>
        <w:r w:rsidR="009C6660" w:rsidRPr="00100091">
          <w:rPr>
            <w:rStyle w:val="Hyperlink"/>
            <w:rFonts w:asciiTheme="minorHAnsi" w:hAnsiTheme="minorHAnsi" w:cstheme="minorHAnsi"/>
            <w:sz w:val="20"/>
            <w:szCs w:val="20"/>
          </w:rPr>
          <w:t>2011/07/0183-8 [</w:t>
        </w:r>
        <w:proofErr w:type="spellStart"/>
        <w:r w:rsidR="009C6660" w:rsidRPr="00100091">
          <w:rPr>
            <w:rStyle w:val="Hyperlink"/>
            <w:rFonts w:asciiTheme="minorHAnsi" w:hAnsiTheme="minorHAnsi" w:cstheme="minorHAnsi"/>
            <w:sz w:val="20"/>
            <w:szCs w:val="20"/>
          </w:rPr>
          <w:t>Häselgehr</w:t>
        </w:r>
        <w:proofErr w:type="spellEnd"/>
        <w:r w:rsidR="009C6660" w:rsidRPr="00100091">
          <w:rPr>
            <w:rStyle w:val="Hyperlink"/>
            <w:rFonts w:asciiTheme="minorHAnsi" w:hAnsiTheme="minorHAnsi" w:cstheme="minorHAnsi"/>
            <w:sz w:val="20"/>
            <w:szCs w:val="20"/>
          </w:rPr>
          <w:t>]</w:t>
        </w:r>
        <w:r w:rsidR="00F541DC" w:rsidRPr="00100091">
          <w:rPr>
            <w:rStyle w:val="Hyperlink"/>
            <w:rFonts w:asciiTheme="minorHAnsi" w:hAnsiTheme="minorHAnsi" w:cstheme="minorHAnsi"/>
            <w:sz w:val="20"/>
            <w:szCs w:val="20"/>
          </w:rPr>
          <w:t xml:space="preserve"> Volltext</w:t>
        </w:r>
      </w:hyperlink>
      <w:r w:rsidR="009C6660" w:rsidRPr="00B872CC">
        <w:rPr>
          <w:rFonts w:asciiTheme="minorHAnsi" w:hAnsiTheme="minorHAnsi" w:cstheme="minorHAnsi"/>
          <w:b/>
          <w:bCs/>
          <w:color w:val="FF0000"/>
          <w:sz w:val="20"/>
          <w:szCs w:val="20"/>
        </w:rPr>
        <w:t xml:space="preserve"> </w:t>
      </w:r>
    </w:p>
    <w:p w14:paraId="322F78A7" w14:textId="2BDF4EE3" w:rsidR="009C6660" w:rsidRPr="00B872CC" w:rsidRDefault="00F636D1" w:rsidP="009C6660">
      <w:pPr>
        <w:pStyle w:val="erltext"/>
        <w:numPr>
          <w:ilvl w:val="0"/>
          <w:numId w:val="7"/>
        </w:numPr>
        <w:ind w:left="360"/>
        <w:rPr>
          <w:rFonts w:asciiTheme="minorHAnsi" w:hAnsiTheme="minorHAnsi" w:cstheme="minorHAnsi"/>
          <w:color w:val="FF0000"/>
          <w:sz w:val="20"/>
          <w:szCs w:val="20"/>
        </w:rPr>
      </w:pPr>
      <w:hyperlink r:id="rId11" w:history="1">
        <w:r w:rsidR="009C6660" w:rsidRPr="00F636D1">
          <w:rPr>
            <w:rStyle w:val="Hyperlink"/>
            <w:rFonts w:asciiTheme="minorHAnsi" w:hAnsiTheme="minorHAnsi" w:cstheme="minorHAnsi"/>
            <w:sz w:val="20"/>
            <w:szCs w:val="20"/>
          </w:rPr>
          <w:t>VwG</w:t>
        </w:r>
        <w:r w:rsidR="009C6660" w:rsidRPr="00F636D1">
          <w:rPr>
            <w:rStyle w:val="Hyperlink"/>
            <w:rFonts w:asciiTheme="minorHAnsi" w:hAnsiTheme="minorHAnsi" w:cstheme="minorHAnsi"/>
            <w:b/>
            <w:bCs/>
            <w:sz w:val="20"/>
            <w:szCs w:val="20"/>
          </w:rPr>
          <w:t xml:space="preserve">H </w:t>
        </w:r>
        <w:r w:rsidR="009C6660" w:rsidRPr="00F636D1">
          <w:rPr>
            <w:rStyle w:val="Hyperlink"/>
            <w:rFonts w:asciiTheme="minorHAnsi" w:hAnsiTheme="minorHAnsi" w:cstheme="minorHAnsi"/>
            <w:sz w:val="20"/>
            <w:szCs w:val="20"/>
          </w:rPr>
          <w:t>2012/07</w:t>
        </w:r>
        <w:r w:rsidR="00234284" w:rsidRPr="00F636D1">
          <w:rPr>
            <w:rStyle w:val="Hyperlink"/>
            <w:rFonts w:asciiTheme="minorHAnsi" w:hAnsiTheme="minorHAnsi" w:cstheme="minorHAnsi"/>
            <w:sz w:val="20"/>
            <w:szCs w:val="20"/>
          </w:rPr>
          <w:t>/</w:t>
        </w:r>
        <w:r w:rsidR="009C6660" w:rsidRPr="00F636D1">
          <w:rPr>
            <w:rStyle w:val="Hyperlink"/>
            <w:rFonts w:asciiTheme="minorHAnsi" w:hAnsiTheme="minorHAnsi" w:cstheme="minorHAnsi"/>
            <w:sz w:val="20"/>
            <w:szCs w:val="20"/>
          </w:rPr>
          <w:t>0023-8 [</w:t>
        </w:r>
        <w:proofErr w:type="spellStart"/>
        <w:r w:rsidR="009C6660" w:rsidRPr="00F636D1">
          <w:rPr>
            <w:rStyle w:val="Hyperlink"/>
            <w:rFonts w:asciiTheme="minorHAnsi" w:hAnsiTheme="minorHAnsi" w:cstheme="minorHAnsi"/>
            <w:sz w:val="20"/>
            <w:szCs w:val="20"/>
          </w:rPr>
          <w:t>Schlaiten</w:t>
        </w:r>
        <w:proofErr w:type="spellEnd"/>
        <w:r w:rsidR="009C6660" w:rsidRPr="00F636D1">
          <w:rPr>
            <w:rStyle w:val="Hyperlink"/>
            <w:rFonts w:asciiTheme="minorHAnsi" w:hAnsiTheme="minorHAnsi" w:cstheme="minorHAnsi"/>
            <w:sz w:val="20"/>
            <w:szCs w:val="20"/>
          </w:rPr>
          <w:t>]</w:t>
        </w:r>
        <w:r w:rsidR="009C6660" w:rsidRPr="00F636D1">
          <w:rPr>
            <w:rStyle w:val="Hyperlink"/>
            <w:rFonts w:asciiTheme="minorHAnsi" w:hAnsiTheme="minorHAnsi" w:cstheme="minorHAnsi"/>
            <w:b/>
            <w:bCs/>
            <w:sz w:val="20"/>
            <w:szCs w:val="20"/>
          </w:rPr>
          <w:t xml:space="preserve"> </w:t>
        </w:r>
        <w:r w:rsidR="00F541DC" w:rsidRPr="00F636D1">
          <w:rPr>
            <w:rStyle w:val="Hyperlink"/>
            <w:rFonts w:asciiTheme="minorHAnsi" w:hAnsiTheme="minorHAnsi" w:cstheme="minorHAnsi"/>
            <w:sz w:val="20"/>
            <w:szCs w:val="20"/>
          </w:rPr>
          <w:t>Volltext</w:t>
        </w:r>
      </w:hyperlink>
      <w:r w:rsidR="00F541DC" w:rsidRPr="00B872CC">
        <w:rPr>
          <w:rFonts w:asciiTheme="minorHAnsi" w:hAnsiTheme="minorHAnsi" w:cstheme="minorHAnsi"/>
          <w:b/>
          <w:bCs/>
          <w:i/>
          <w:iCs/>
          <w:color w:val="2E74B5" w:themeColor="accent5" w:themeShade="BF"/>
          <w:sz w:val="20"/>
          <w:szCs w:val="20"/>
        </w:rPr>
        <w:t xml:space="preserve"> </w:t>
      </w:r>
    </w:p>
    <w:p w14:paraId="6234604E" w14:textId="0019425B" w:rsidR="009C6660" w:rsidRPr="00B872CC" w:rsidRDefault="00F636D1" w:rsidP="009C6660">
      <w:pPr>
        <w:pStyle w:val="erltext"/>
        <w:numPr>
          <w:ilvl w:val="0"/>
          <w:numId w:val="7"/>
        </w:numPr>
        <w:ind w:left="360"/>
        <w:rPr>
          <w:rFonts w:asciiTheme="minorHAnsi" w:hAnsiTheme="minorHAnsi" w:cstheme="minorHAnsi"/>
          <w:color w:val="FF0000"/>
          <w:sz w:val="20"/>
          <w:szCs w:val="20"/>
        </w:rPr>
      </w:pPr>
      <w:hyperlink r:id="rId12" w:history="1">
        <w:r w:rsidR="009C6660" w:rsidRPr="00F636D1">
          <w:rPr>
            <w:rStyle w:val="Hyperlink"/>
            <w:rFonts w:asciiTheme="minorHAnsi" w:hAnsiTheme="minorHAnsi" w:cstheme="minorHAnsi"/>
            <w:sz w:val="20"/>
            <w:szCs w:val="20"/>
          </w:rPr>
          <w:t>VwGH 2010/07/0101-13 [Trins]</w:t>
        </w:r>
        <w:r w:rsidR="009C6660" w:rsidRPr="00F636D1">
          <w:rPr>
            <w:rStyle w:val="Hyperlink"/>
            <w:rFonts w:cstheme="minorHAnsi"/>
            <w:sz w:val="20"/>
            <w:szCs w:val="20"/>
          </w:rPr>
          <w:t xml:space="preserve"> </w:t>
        </w:r>
        <w:r w:rsidR="00F541DC" w:rsidRPr="00F636D1">
          <w:rPr>
            <w:rStyle w:val="Hyperlink"/>
            <w:rFonts w:asciiTheme="minorHAnsi" w:hAnsiTheme="minorHAnsi" w:cstheme="minorHAnsi"/>
            <w:sz w:val="20"/>
            <w:szCs w:val="20"/>
          </w:rPr>
          <w:t>Volltext</w:t>
        </w:r>
      </w:hyperlink>
      <w:r w:rsidR="00F541DC" w:rsidRPr="00B872CC">
        <w:rPr>
          <w:rFonts w:asciiTheme="minorHAnsi" w:hAnsiTheme="minorHAnsi" w:cstheme="minorHAnsi"/>
          <w:b/>
          <w:bCs/>
          <w:i/>
          <w:iCs/>
          <w:color w:val="2E74B5" w:themeColor="accent5" w:themeShade="BF"/>
          <w:sz w:val="20"/>
          <w:szCs w:val="20"/>
        </w:rPr>
        <w:t xml:space="preserve"> </w:t>
      </w:r>
    </w:p>
    <w:p w14:paraId="62A2340E" w14:textId="6BE424D7" w:rsidR="00B872CC" w:rsidRDefault="00B872CC" w:rsidP="000338F6">
      <w:pPr>
        <w:pStyle w:val="erltext"/>
        <w:spacing w:before="0" w:beforeAutospacing="0" w:after="0" w:afterAutospacing="0"/>
        <w:jc w:val="both"/>
        <w:rPr>
          <w:rFonts w:ascii="Calibri" w:hAnsi="Calibri" w:cs="Calibri"/>
          <w:b/>
          <w:bCs/>
          <w:sz w:val="26"/>
          <w:szCs w:val="26"/>
          <w:u w:val="single"/>
        </w:rPr>
      </w:pPr>
    </w:p>
    <w:p w14:paraId="2A664F75" w14:textId="77777777" w:rsidR="00B872CC" w:rsidRDefault="00B872CC" w:rsidP="000338F6">
      <w:pPr>
        <w:pStyle w:val="erltext"/>
        <w:spacing w:before="0" w:beforeAutospacing="0" w:after="0" w:afterAutospacing="0"/>
        <w:jc w:val="both"/>
        <w:rPr>
          <w:rFonts w:ascii="Calibri" w:hAnsi="Calibri" w:cs="Calibri"/>
          <w:b/>
          <w:bCs/>
          <w:sz w:val="26"/>
          <w:szCs w:val="26"/>
          <w:u w:val="single"/>
        </w:rPr>
      </w:pPr>
    </w:p>
    <w:p w14:paraId="32A10231" w14:textId="603DF4D6" w:rsidR="000338F6" w:rsidRDefault="000338F6" w:rsidP="000338F6">
      <w:pPr>
        <w:pStyle w:val="erltext"/>
        <w:spacing w:before="0" w:beforeAutospacing="0" w:after="0" w:afterAutospacing="0"/>
        <w:jc w:val="both"/>
        <w:rPr>
          <w:rFonts w:ascii="Calibri" w:hAnsi="Calibri" w:cs="Calibri"/>
          <w:b/>
          <w:bCs/>
          <w:sz w:val="26"/>
          <w:szCs w:val="26"/>
        </w:rPr>
      </w:pPr>
      <w:r w:rsidRPr="000338F6">
        <w:rPr>
          <w:rFonts w:ascii="Calibri" w:hAnsi="Calibri" w:cs="Calibri"/>
          <w:b/>
          <w:bCs/>
          <w:sz w:val="26"/>
          <w:szCs w:val="26"/>
          <w:u w:val="single"/>
        </w:rPr>
        <w:t>Anmerkung</w:t>
      </w:r>
      <w:r w:rsidRPr="00F544B9">
        <w:rPr>
          <w:rFonts w:ascii="Calibri" w:hAnsi="Calibri" w:cs="Calibri"/>
          <w:b/>
          <w:bCs/>
          <w:sz w:val="26"/>
          <w:szCs w:val="26"/>
        </w:rPr>
        <w:t>:</w:t>
      </w:r>
    </w:p>
    <w:p w14:paraId="65DDEE2F" w14:textId="303FF681" w:rsidR="000338F6" w:rsidRPr="00D80564" w:rsidRDefault="000338F6" w:rsidP="00E61BAF">
      <w:pPr>
        <w:pStyle w:val="erltext"/>
        <w:spacing w:before="240" w:beforeAutospacing="0" w:line="276" w:lineRule="auto"/>
        <w:jc w:val="both"/>
        <w:rPr>
          <w:rFonts w:ascii="Calibri" w:hAnsi="Calibri" w:cs="Calibri"/>
          <w:b/>
          <w:bCs/>
          <w:sz w:val="26"/>
          <w:szCs w:val="26"/>
        </w:rPr>
      </w:pPr>
      <w:r w:rsidRPr="00D80564">
        <w:rPr>
          <w:rFonts w:ascii="Calibri" w:hAnsi="Calibri" w:cs="Calibri"/>
        </w:rPr>
        <w:t>Ein Gemeinderatsbeschluss ist (lediglich) als Zustimmung zu der von der Agrarbehörde mit Bescheid vorgenommenen Eigentumsübertragung, nicht aber auf eine auf den Abschluss eines Vertrages gerichtete Willenserklärung zu werten (Kienberger, Das Gemeindegut als Verfassungsproblem [</w:t>
      </w:r>
      <w:proofErr w:type="spellStart"/>
      <w:r w:rsidRPr="00D80564">
        <w:rPr>
          <w:rFonts w:ascii="Calibri" w:hAnsi="Calibri" w:cs="Calibri"/>
        </w:rPr>
        <w:t>NexisLexis</w:t>
      </w:r>
      <w:proofErr w:type="spellEnd"/>
      <w:r w:rsidRPr="00D80564">
        <w:rPr>
          <w:rFonts w:ascii="Calibri" w:hAnsi="Calibri" w:cs="Calibri"/>
        </w:rPr>
        <w:t xml:space="preserve"> 2018], S 28</w:t>
      </w:r>
      <w:r w:rsidR="00D62C40">
        <w:rPr>
          <w:rFonts w:ascii="Calibri" w:hAnsi="Calibri" w:cs="Calibri"/>
        </w:rPr>
        <w:t xml:space="preserve">; </w:t>
      </w:r>
      <w:proofErr w:type="spellStart"/>
      <w:r w:rsidR="00D62C40">
        <w:rPr>
          <w:rFonts w:ascii="Calibri" w:hAnsi="Calibri" w:cs="Calibri"/>
        </w:rPr>
        <w:t>vgl</w:t>
      </w:r>
      <w:proofErr w:type="spellEnd"/>
      <w:r w:rsidR="00D62C40">
        <w:rPr>
          <w:rFonts w:ascii="Calibri" w:hAnsi="Calibri" w:cs="Calibri"/>
        </w:rPr>
        <w:t xml:space="preserve"> auch VwGH 15.09.2011, </w:t>
      </w:r>
      <w:r w:rsidR="00D62C40" w:rsidRPr="00E70295">
        <w:rPr>
          <w:rFonts w:ascii="Calibri" w:hAnsi="Calibri" w:cs="Calibri"/>
        </w:rPr>
        <w:t>2010/070106</w:t>
      </w:r>
      <w:r w:rsidRPr="00D80564">
        <w:rPr>
          <w:rFonts w:ascii="Calibri" w:hAnsi="Calibri" w:cs="Calibri"/>
        </w:rPr>
        <w:t>).</w:t>
      </w:r>
    </w:p>
    <w:p w14:paraId="6CB5019F" w14:textId="77777777" w:rsidR="009C6660" w:rsidRPr="000C6E3E" w:rsidRDefault="009C6660" w:rsidP="000C6E3E">
      <w:pPr>
        <w:spacing w:after="120" w:line="276" w:lineRule="auto"/>
        <w:jc w:val="both"/>
        <w:rPr>
          <w:rFonts w:cstheme="minorHAnsi"/>
          <w:sz w:val="24"/>
          <w:szCs w:val="24"/>
          <w:u w:val="single"/>
        </w:rPr>
      </w:pPr>
    </w:p>
    <w:sectPr w:rsidR="009C6660" w:rsidRPr="000C6E3E" w:rsidSect="00582354">
      <w:headerReference w:type="default" r:id="rId13"/>
      <w:footerReference w:type="default" r:id="rId14"/>
      <w:pgSz w:w="11906" w:h="16838"/>
      <w:pgMar w:top="1417" w:right="1417" w:bottom="1134" w:left="1417" w:header="454" w:footer="170" w:gutter="0"/>
      <w:pgNumType w:fmt="numberInDash"/>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2AB6C" w14:textId="77777777" w:rsidR="00E7410D" w:rsidRDefault="00E7410D" w:rsidP="005B32B5">
      <w:pPr>
        <w:spacing w:after="0" w:line="240" w:lineRule="auto"/>
      </w:pPr>
      <w:r>
        <w:separator/>
      </w:r>
    </w:p>
  </w:endnote>
  <w:endnote w:type="continuationSeparator" w:id="0">
    <w:p w14:paraId="48B63DE6" w14:textId="77777777" w:rsidR="00E7410D" w:rsidRDefault="00E7410D" w:rsidP="005B3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Yu Gothic UI Semibold">
    <w:panose1 w:val="020B07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A0BC1" w14:textId="77777777" w:rsidR="00582354" w:rsidRDefault="00582354" w:rsidP="00582354">
    <w:pPr>
      <w:pStyle w:val="Fuzeile"/>
      <w:jc w:val="center"/>
      <w:rPr>
        <w:rFonts w:cstheme="minorHAnsi"/>
      </w:rPr>
    </w:pPr>
    <w:r>
      <w:rPr>
        <w:rFonts w:eastAsia="Yu Gothic UI Semibold" w:cstheme="minorHAnsi"/>
      </w:rPr>
      <w:t>&gt;&gt; Gemeindeland in Gemeindehand &lt;&lt;</w:t>
    </w:r>
  </w:p>
  <w:p w14:paraId="1CAEB3EB" w14:textId="77777777" w:rsidR="00582354" w:rsidRDefault="00582354" w:rsidP="00582354">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72EBD" w14:textId="77777777" w:rsidR="00E7410D" w:rsidRDefault="00E7410D" w:rsidP="005B32B5">
      <w:pPr>
        <w:spacing w:after="0" w:line="240" w:lineRule="auto"/>
      </w:pPr>
      <w:r>
        <w:separator/>
      </w:r>
    </w:p>
  </w:footnote>
  <w:footnote w:type="continuationSeparator" w:id="0">
    <w:p w14:paraId="7B341819" w14:textId="77777777" w:rsidR="00E7410D" w:rsidRDefault="00E7410D" w:rsidP="005B32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28ACC" w14:textId="44F194CB" w:rsidR="00582354" w:rsidRDefault="00582354">
    <w:pPr>
      <w:pStyle w:val="Kopfzeile"/>
      <w:jc w:val="center"/>
    </w:pPr>
  </w:p>
  <w:p w14:paraId="00610D2F" w14:textId="77777777" w:rsidR="00582354" w:rsidRDefault="0058235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4354F"/>
    <w:multiLevelType w:val="hybridMultilevel"/>
    <w:tmpl w:val="1A3CE15C"/>
    <w:lvl w:ilvl="0" w:tplc="2618DC5A">
      <w:start w:val="1"/>
      <w:numFmt w:val="bullet"/>
      <w:lvlText w:val=""/>
      <w:lvlJc w:val="left"/>
      <w:pPr>
        <w:ind w:left="720" w:hanging="360"/>
      </w:pPr>
      <w:rPr>
        <w:rFonts w:ascii="Wingdings" w:hAnsi="Wingdings" w:hint="default"/>
        <w:color w:val="0070C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E737751"/>
    <w:multiLevelType w:val="multilevel"/>
    <w:tmpl w:val="5F84E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093184B"/>
    <w:multiLevelType w:val="hybridMultilevel"/>
    <w:tmpl w:val="3AA4104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1DB96AE4"/>
    <w:multiLevelType w:val="hybridMultilevel"/>
    <w:tmpl w:val="E072111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22F72842"/>
    <w:multiLevelType w:val="hybridMultilevel"/>
    <w:tmpl w:val="41CA618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D387D11"/>
    <w:multiLevelType w:val="multilevel"/>
    <w:tmpl w:val="94FC2E9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35E4264B"/>
    <w:multiLevelType w:val="hybridMultilevel"/>
    <w:tmpl w:val="7A7C43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534533F0"/>
    <w:multiLevelType w:val="hybridMultilevel"/>
    <w:tmpl w:val="9CBA1AF4"/>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8" w15:restartNumberingAfterBreak="0">
    <w:nsid w:val="5DCA52F7"/>
    <w:multiLevelType w:val="hybridMultilevel"/>
    <w:tmpl w:val="0BDA082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9" w15:restartNumberingAfterBreak="0">
    <w:nsid w:val="7EF71417"/>
    <w:multiLevelType w:val="multilevel"/>
    <w:tmpl w:val="CC020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F72DE8"/>
    <w:multiLevelType w:val="hybridMultilevel"/>
    <w:tmpl w:val="E4F87AD2"/>
    <w:lvl w:ilvl="0" w:tplc="54B8A1A0">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9"/>
  </w:num>
  <w:num w:numId="5">
    <w:abstractNumId w:val="6"/>
  </w:num>
  <w:num w:numId="6">
    <w:abstractNumId w:val="10"/>
  </w:num>
  <w:num w:numId="7">
    <w:abstractNumId w:val="0"/>
  </w:num>
  <w:num w:numId="8">
    <w:abstractNumId w:val="3"/>
  </w:num>
  <w:num w:numId="9">
    <w:abstractNumId w:val="8"/>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3C1"/>
    <w:rsid w:val="00000AC6"/>
    <w:rsid w:val="00032F39"/>
    <w:rsid w:val="000338F6"/>
    <w:rsid w:val="000614A4"/>
    <w:rsid w:val="0006272B"/>
    <w:rsid w:val="000C6E3E"/>
    <w:rsid w:val="000D6565"/>
    <w:rsid w:val="00100091"/>
    <w:rsid w:val="00127587"/>
    <w:rsid w:val="00186374"/>
    <w:rsid w:val="00193EFB"/>
    <w:rsid w:val="001961B3"/>
    <w:rsid w:val="001A4AD8"/>
    <w:rsid w:val="001D480F"/>
    <w:rsid w:val="00234284"/>
    <w:rsid w:val="0027787B"/>
    <w:rsid w:val="00280BDD"/>
    <w:rsid w:val="002F1971"/>
    <w:rsid w:val="00355036"/>
    <w:rsid w:val="003725BF"/>
    <w:rsid w:val="003807DB"/>
    <w:rsid w:val="003A5042"/>
    <w:rsid w:val="003C6233"/>
    <w:rsid w:val="003E3B0D"/>
    <w:rsid w:val="00402F75"/>
    <w:rsid w:val="00405B72"/>
    <w:rsid w:val="00463A8C"/>
    <w:rsid w:val="00490472"/>
    <w:rsid w:val="004A3A2A"/>
    <w:rsid w:val="004F2D0B"/>
    <w:rsid w:val="00503E6D"/>
    <w:rsid w:val="005303DD"/>
    <w:rsid w:val="00533ACE"/>
    <w:rsid w:val="00567D5F"/>
    <w:rsid w:val="0057055C"/>
    <w:rsid w:val="0057218F"/>
    <w:rsid w:val="00582354"/>
    <w:rsid w:val="005B32B5"/>
    <w:rsid w:val="005B504A"/>
    <w:rsid w:val="005D0F1D"/>
    <w:rsid w:val="006200DD"/>
    <w:rsid w:val="006408C7"/>
    <w:rsid w:val="00655FA9"/>
    <w:rsid w:val="00662E40"/>
    <w:rsid w:val="00695111"/>
    <w:rsid w:val="006A2AE2"/>
    <w:rsid w:val="006A73CF"/>
    <w:rsid w:val="006B07E9"/>
    <w:rsid w:val="006B1CA3"/>
    <w:rsid w:val="006B5B0A"/>
    <w:rsid w:val="006C4E5A"/>
    <w:rsid w:val="006D3281"/>
    <w:rsid w:val="00705099"/>
    <w:rsid w:val="00742E24"/>
    <w:rsid w:val="00744635"/>
    <w:rsid w:val="00795474"/>
    <w:rsid w:val="007D0A2D"/>
    <w:rsid w:val="007D13E6"/>
    <w:rsid w:val="007E1213"/>
    <w:rsid w:val="007E14F9"/>
    <w:rsid w:val="00832EE8"/>
    <w:rsid w:val="008440EC"/>
    <w:rsid w:val="00867648"/>
    <w:rsid w:val="008B03C1"/>
    <w:rsid w:val="008D2C99"/>
    <w:rsid w:val="00913792"/>
    <w:rsid w:val="00942FB9"/>
    <w:rsid w:val="0097258A"/>
    <w:rsid w:val="009A09B0"/>
    <w:rsid w:val="009C296C"/>
    <w:rsid w:val="009C6660"/>
    <w:rsid w:val="009E2BF3"/>
    <w:rsid w:val="009F6B2A"/>
    <w:rsid w:val="00A31F2A"/>
    <w:rsid w:val="00A45849"/>
    <w:rsid w:val="00B12100"/>
    <w:rsid w:val="00B25480"/>
    <w:rsid w:val="00B71AD4"/>
    <w:rsid w:val="00B872CC"/>
    <w:rsid w:val="00BE5582"/>
    <w:rsid w:val="00C1688C"/>
    <w:rsid w:val="00C211F1"/>
    <w:rsid w:val="00C4777F"/>
    <w:rsid w:val="00CC44A2"/>
    <w:rsid w:val="00CF1D0F"/>
    <w:rsid w:val="00D468A8"/>
    <w:rsid w:val="00D47037"/>
    <w:rsid w:val="00D47832"/>
    <w:rsid w:val="00D51D83"/>
    <w:rsid w:val="00D60189"/>
    <w:rsid w:val="00D62C40"/>
    <w:rsid w:val="00D80564"/>
    <w:rsid w:val="00D809D9"/>
    <w:rsid w:val="00DA5331"/>
    <w:rsid w:val="00DA6F2E"/>
    <w:rsid w:val="00DC6497"/>
    <w:rsid w:val="00DD0F5F"/>
    <w:rsid w:val="00E60153"/>
    <w:rsid w:val="00E61BAF"/>
    <w:rsid w:val="00E70295"/>
    <w:rsid w:val="00E7410D"/>
    <w:rsid w:val="00E85014"/>
    <w:rsid w:val="00EA0353"/>
    <w:rsid w:val="00ED0732"/>
    <w:rsid w:val="00F04AD4"/>
    <w:rsid w:val="00F13588"/>
    <w:rsid w:val="00F14184"/>
    <w:rsid w:val="00F15533"/>
    <w:rsid w:val="00F537C8"/>
    <w:rsid w:val="00F541DC"/>
    <w:rsid w:val="00F544B9"/>
    <w:rsid w:val="00F55675"/>
    <w:rsid w:val="00F636D1"/>
    <w:rsid w:val="00F72922"/>
    <w:rsid w:val="00F81E9A"/>
    <w:rsid w:val="00F900B0"/>
    <w:rsid w:val="00F91715"/>
    <w:rsid w:val="00FC11EE"/>
    <w:rsid w:val="00FD178A"/>
  </w:rsids>
  <m:mathPr>
    <m:mathFont m:val="Cambria Math"/>
    <m:brkBin m:val="before"/>
    <m:brkBinSub m:val="--"/>
    <m:smallFrac m:val="0"/>
    <m:dispDef/>
    <m:lMargin m:val="0"/>
    <m:rMargin m:val="0"/>
    <m:defJc m:val="centerGroup"/>
    <m:wrapIndent m:val="1440"/>
    <m:intLim m:val="subSup"/>
    <m:naryLim m:val="undOvr"/>
  </m:mathPr>
  <w:themeFontLang w:val="de-A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45645"/>
  <w15:docId w15:val="{B13B3486-2F2A-449A-988D-22A9E7EE7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de-AT" w:eastAsia="de-A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rPr>
      <w:sz w:val="22"/>
    </w:rPr>
  </w:style>
  <w:style w:type="paragraph" w:styleId="berschrift1">
    <w:name w:val="heading 1"/>
    <w:basedOn w:val="Standard"/>
    <w:next w:val="Standard"/>
    <w:uiPriority w:val="9"/>
    <w:qFormat/>
    <w:rsid w:val="00C36E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uiPriority w:val="9"/>
    <w:semiHidden/>
    <w:unhideWhenUsed/>
    <w:qFormat/>
    <w:rsid w:val="00967E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uiPriority w:val="9"/>
    <w:qFormat/>
    <w:rsid w:val="00C2235C"/>
    <w:pPr>
      <w:spacing w:beforeAutospacing="1"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uiPriority w:val="9"/>
    <w:qFormat/>
    <w:rsid w:val="00C2235C"/>
    <w:rPr>
      <w:rFonts w:ascii="Times New Roman" w:eastAsia="Times New Roman" w:hAnsi="Times New Roman" w:cs="Times New Roman"/>
      <w:b/>
      <w:bCs/>
      <w:sz w:val="27"/>
      <w:szCs w:val="27"/>
    </w:rPr>
  </w:style>
  <w:style w:type="character" w:styleId="Fett">
    <w:name w:val="Strong"/>
    <w:basedOn w:val="Absatz-Standardschriftart"/>
    <w:uiPriority w:val="22"/>
    <w:qFormat/>
    <w:rsid w:val="00C2235C"/>
    <w:rPr>
      <w:b/>
      <w:bCs/>
    </w:rPr>
  </w:style>
  <w:style w:type="character" w:customStyle="1" w:styleId="Internetverknpfung">
    <w:name w:val="Internetverknüpfung"/>
    <w:basedOn w:val="Absatz-Standardschriftart"/>
    <w:uiPriority w:val="99"/>
    <w:unhideWhenUsed/>
    <w:rsid w:val="00BD501E"/>
    <w:rPr>
      <w:color w:val="0000FF"/>
      <w:u w:val="single"/>
    </w:rPr>
  </w:style>
  <w:style w:type="character" w:customStyle="1" w:styleId="berschrift1Zchn">
    <w:name w:val="Überschrift 1 Zchn"/>
    <w:basedOn w:val="Absatz-Standardschriftart"/>
    <w:uiPriority w:val="9"/>
    <w:qFormat/>
    <w:rsid w:val="00C36E00"/>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uiPriority w:val="9"/>
    <w:semiHidden/>
    <w:qFormat/>
    <w:rsid w:val="00967E50"/>
    <w:rPr>
      <w:rFonts w:asciiTheme="majorHAnsi" w:eastAsiaTheme="majorEastAsia" w:hAnsiTheme="majorHAnsi" w:cstheme="majorBidi"/>
      <w:color w:val="2F5496" w:themeColor="accent1" w:themeShade="BF"/>
      <w:sz w:val="26"/>
      <w:szCs w:val="26"/>
    </w:rPr>
  </w:style>
  <w:style w:type="character" w:styleId="NichtaufgelsteErwhnung">
    <w:name w:val="Unresolved Mention"/>
    <w:basedOn w:val="Absatz-Standardschriftart"/>
    <w:uiPriority w:val="99"/>
    <w:semiHidden/>
    <w:unhideWhenUsed/>
    <w:qFormat/>
    <w:rsid w:val="00967E50"/>
    <w:rPr>
      <w:color w:val="605E5C"/>
      <w:shd w:val="clear" w:color="auto" w:fill="E1DFDD"/>
    </w:rPr>
  </w:style>
  <w:style w:type="character" w:styleId="Kommentarzeichen">
    <w:name w:val="annotation reference"/>
    <w:basedOn w:val="Absatz-Standardschriftart"/>
    <w:uiPriority w:val="99"/>
    <w:semiHidden/>
    <w:unhideWhenUsed/>
    <w:qFormat/>
    <w:rsid w:val="00A41583"/>
    <w:rPr>
      <w:sz w:val="16"/>
      <w:szCs w:val="16"/>
    </w:rPr>
  </w:style>
  <w:style w:type="character" w:customStyle="1" w:styleId="KommentartextZchn">
    <w:name w:val="Kommentartext Zchn"/>
    <w:basedOn w:val="Absatz-Standardschriftart"/>
    <w:link w:val="Kommentartext"/>
    <w:uiPriority w:val="99"/>
    <w:semiHidden/>
    <w:qFormat/>
    <w:rsid w:val="00A41583"/>
    <w:rPr>
      <w:sz w:val="20"/>
      <w:szCs w:val="20"/>
    </w:rPr>
  </w:style>
  <w:style w:type="character" w:customStyle="1" w:styleId="KommentarthemaZchn">
    <w:name w:val="Kommentarthema Zchn"/>
    <w:basedOn w:val="KommentartextZchn"/>
    <w:link w:val="Kommentarthema"/>
    <w:uiPriority w:val="99"/>
    <w:semiHidden/>
    <w:qFormat/>
    <w:rsid w:val="00A41583"/>
    <w:rPr>
      <w:b/>
      <w:bCs/>
      <w:sz w:val="20"/>
      <w:szCs w:val="20"/>
    </w:rPr>
  </w:style>
  <w:style w:type="character" w:customStyle="1" w:styleId="SprechblasentextZchn">
    <w:name w:val="Sprechblasentext Zchn"/>
    <w:basedOn w:val="Absatz-Standardschriftart"/>
    <w:link w:val="Sprechblasentext"/>
    <w:uiPriority w:val="99"/>
    <w:semiHidden/>
    <w:qFormat/>
    <w:rsid w:val="00A41583"/>
    <w:rPr>
      <w:rFonts w:ascii="Segoe UI" w:hAnsi="Segoe UI" w:cs="Segoe UI"/>
      <w:sz w:val="18"/>
      <w:szCs w:val="18"/>
    </w:rPr>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76"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Verzeichnis">
    <w:name w:val="Verzeichnis"/>
    <w:basedOn w:val="Standard"/>
    <w:qFormat/>
    <w:pPr>
      <w:suppressLineNumbers/>
    </w:pPr>
    <w:rPr>
      <w:rFonts w:cs="Arial"/>
    </w:rPr>
  </w:style>
  <w:style w:type="paragraph" w:customStyle="1" w:styleId="Homepage1">
    <w:name w:val="Homepage 1"/>
    <w:basedOn w:val="Standard"/>
    <w:qFormat/>
    <w:rsid w:val="003262E7"/>
    <w:pPr>
      <w:spacing w:after="0" w:line="240" w:lineRule="auto"/>
      <w:contextualSpacing/>
      <w:jc w:val="both"/>
    </w:pPr>
    <w:rPr>
      <w:rFonts w:ascii="Calibri" w:eastAsiaTheme="minorEastAsia" w:hAnsi="Calibri" w:cs="Calibri"/>
      <w:color w:val="595959" w:themeColor="text1" w:themeTint="A6"/>
      <w:lang w:val="de-DE" w:eastAsia="en-US"/>
    </w:rPr>
  </w:style>
  <w:style w:type="paragraph" w:styleId="StandardWeb">
    <w:name w:val="Normal (Web)"/>
    <w:basedOn w:val="Standard"/>
    <w:uiPriority w:val="99"/>
    <w:unhideWhenUsed/>
    <w:qFormat/>
    <w:rsid w:val="00397C8C"/>
    <w:pPr>
      <w:spacing w:beforeAutospacing="1" w:afterAutospacing="1" w:line="240" w:lineRule="auto"/>
    </w:pPr>
    <w:rPr>
      <w:rFonts w:ascii="Times New Roman" w:eastAsia="Times New Roman" w:hAnsi="Times New Roman" w:cs="Times New Roman"/>
      <w:sz w:val="24"/>
      <w:szCs w:val="24"/>
    </w:rPr>
  </w:style>
  <w:style w:type="paragraph" w:styleId="Listenabsatz">
    <w:name w:val="List Paragraph"/>
    <w:basedOn w:val="Standard"/>
    <w:uiPriority w:val="34"/>
    <w:qFormat/>
    <w:rsid w:val="002666C5"/>
    <w:pPr>
      <w:ind w:left="720"/>
      <w:contextualSpacing/>
    </w:pPr>
  </w:style>
  <w:style w:type="paragraph" w:styleId="Kommentartext">
    <w:name w:val="annotation text"/>
    <w:basedOn w:val="Standard"/>
    <w:link w:val="KommentartextZchn"/>
    <w:uiPriority w:val="99"/>
    <w:semiHidden/>
    <w:unhideWhenUsed/>
    <w:qFormat/>
    <w:rsid w:val="00A41583"/>
    <w:pPr>
      <w:spacing w:line="240" w:lineRule="auto"/>
    </w:pPr>
    <w:rPr>
      <w:sz w:val="20"/>
      <w:szCs w:val="20"/>
    </w:rPr>
  </w:style>
  <w:style w:type="paragraph" w:styleId="Kommentarthema">
    <w:name w:val="annotation subject"/>
    <w:basedOn w:val="Kommentartext"/>
    <w:next w:val="Kommentartext"/>
    <w:link w:val="KommentarthemaZchn"/>
    <w:uiPriority w:val="99"/>
    <w:semiHidden/>
    <w:unhideWhenUsed/>
    <w:qFormat/>
    <w:rsid w:val="00A41583"/>
    <w:rPr>
      <w:b/>
      <w:bCs/>
    </w:rPr>
  </w:style>
  <w:style w:type="paragraph" w:styleId="Sprechblasentext">
    <w:name w:val="Balloon Text"/>
    <w:basedOn w:val="Standard"/>
    <w:link w:val="SprechblasentextZchn"/>
    <w:uiPriority w:val="99"/>
    <w:semiHidden/>
    <w:unhideWhenUsed/>
    <w:qFormat/>
    <w:rsid w:val="00A41583"/>
    <w:pPr>
      <w:spacing w:after="0" w:line="240" w:lineRule="auto"/>
    </w:pPr>
    <w:rPr>
      <w:rFonts w:ascii="Segoe UI" w:hAnsi="Segoe UI" w:cs="Segoe UI"/>
      <w:sz w:val="18"/>
      <w:szCs w:val="18"/>
    </w:rPr>
  </w:style>
  <w:style w:type="character" w:styleId="Hyperlink">
    <w:name w:val="Hyperlink"/>
    <w:basedOn w:val="Absatz-Standardschriftart"/>
    <w:uiPriority w:val="99"/>
    <w:unhideWhenUsed/>
    <w:rsid w:val="003C6233"/>
    <w:rPr>
      <w:color w:val="0000FF"/>
      <w:u w:val="single"/>
    </w:rPr>
  </w:style>
  <w:style w:type="paragraph" w:styleId="Funotentext">
    <w:name w:val="footnote text"/>
    <w:basedOn w:val="Standard"/>
    <w:link w:val="FunotentextZchn"/>
    <w:uiPriority w:val="99"/>
    <w:semiHidden/>
    <w:unhideWhenUsed/>
    <w:rsid w:val="005B32B5"/>
    <w:pPr>
      <w:suppressAutoHyphens w:val="0"/>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B32B5"/>
    <w:rPr>
      <w:szCs w:val="20"/>
    </w:rPr>
  </w:style>
  <w:style w:type="character" w:styleId="Funotenzeichen">
    <w:name w:val="footnote reference"/>
    <w:basedOn w:val="Absatz-Standardschriftart"/>
    <w:uiPriority w:val="99"/>
    <w:semiHidden/>
    <w:unhideWhenUsed/>
    <w:rsid w:val="005B32B5"/>
    <w:rPr>
      <w:vertAlign w:val="superscript"/>
    </w:rPr>
  </w:style>
  <w:style w:type="paragraph" w:customStyle="1" w:styleId="erltext">
    <w:name w:val="erltext"/>
    <w:basedOn w:val="Standard"/>
    <w:rsid w:val="00C211F1"/>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1Abs">
    <w:name w:val="51_Abs"/>
    <w:basedOn w:val="Standard"/>
    <w:qFormat/>
    <w:rsid w:val="00DC6497"/>
    <w:pPr>
      <w:suppressAutoHyphens w:val="0"/>
      <w:spacing w:before="80" w:after="0" w:line="220" w:lineRule="exact"/>
      <w:ind w:firstLine="397"/>
      <w:jc w:val="both"/>
    </w:pPr>
    <w:rPr>
      <w:rFonts w:ascii="Times New Roman" w:eastAsiaTheme="minorEastAsia" w:hAnsi="Times New Roman" w:cs="Times New Roman"/>
      <w:color w:val="000000"/>
      <w:sz w:val="20"/>
      <w:szCs w:val="20"/>
    </w:rPr>
  </w:style>
  <w:style w:type="paragraph" w:styleId="Kopfzeile">
    <w:name w:val="header"/>
    <w:basedOn w:val="Standard"/>
    <w:link w:val="KopfzeileZchn"/>
    <w:uiPriority w:val="99"/>
    <w:unhideWhenUsed/>
    <w:rsid w:val="0058235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82354"/>
    <w:rPr>
      <w:sz w:val="22"/>
    </w:rPr>
  </w:style>
  <w:style w:type="paragraph" w:styleId="Fuzeile">
    <w:name w:val="footer"/>
    <w:basedOn w:val="Standard"/>
    <w:link w:val="FuzeileZchn"/>
    <w:uiPriority w:val="99"/>
    <w:unhideWhenUsed/>
    <w:rsid w:val="00582354"/>
    <w:pPr>
      <w:tabs>
        <w:tab w:val="center" w:pos="4536"/>
        <w:tab w:val="right" w:pos="9072"/>
      </w:tabs>
      <w:spacing w:after="0" w:line="240" w:lineRule="auto"/>
    </w:pPr>
  </w:style>
  <w:style w:type="character" w:customStyle="1" w:styleId="FuzeileZchn">
    <w:name w:val="Fußzeile Zchn"/>
    <w:basedOn w:val="Absatz-Standardschriftart"/>
    <w:link w:val="Fuzeile"/>
    <w:uiPriority w:val="99"/>
    <w:qFormat/>
    <w:rsid w:val="00582354"/>
    <w:rPr>
      <w:sz w:val="22"/>
    </w:rPr>
  </w:style>
  <w:style w:type="character" w:styleId="BesuchterLink">
    <w:name w:val="FollowedHyperlink"/>
    <w:basedOn w:val="Absatz-Standardschriftart"/>
    <w:uiPriority w:val="99"/>
    <w:semiHidden/>
    <w:unhideWhenUsed/>
    <w:rsid w:val="001000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516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meindeland.at/wp-content/uploads/2021/12/2011-Rechtssaetze-aus-VwGH-vom-22.12.2011_2011070183-Haeselgehr-1.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emeindeland.at/wp-content/uploads/2021/12/2012-03-22_VwGH-Trins-2010070101-keine-Hauptteilung-Volltext.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emeindeland.at/wp-content/uploads/2021/12/2012-10-25-VwGH-Schlaiten-keine-HauptT-2012-07-0023-8-Volltext-1.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emeindeland.at/wp-content/uploads/2021/12/2011_07_0183-VwGH-Haeselgehr-Hauptteilung-Volltext-1.pdf" TargetMode="External"/><Relationship Id="rId4" Type="http://schemas.openxmlformats.org/officeDocument/2006/relationships/settings" Target="settings.xml"/><Relationship Id="rId9" Type="http://schemas.openxmlformats.org/officeDocument/2006/relationships/hyperlink" Target="https://www.gemeindeland.at/wp-content/uploads/2021/12/2012-Rechtssaetze-aus-VwGH-vom-25.10.2012_201_2012070023-Schlaiten-1-2.pdf"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AAA71-DACD-4BFA-ACCC-BF58ED264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672</Words>
  <Characters>4237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Werner Lux</dc:creator>
  <dc:description/>
  <cp:lastModifiedBy>Puzik, Verena</cp:lastModifiedBy>
  <cp:revision>94</cp:revision>
  <cp:lastPrinted>2021-03-05T15:53:00Z</cp:lastPrinted>
  <dcterms:created xsi:type="dcterms:W3CDTF">2020-06-07T13:31:00Z</dcterms:created>
  <dcterms:modified xsi:type="dcterms:W3CDTF">2021-12-16T14:34:00Z</dcterms:modified>
  <dc:language>de-AT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