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8140" w14:textId="3952F186" w:rsidR="00AF20AA" w:rsidRPr="00E94B47" w:rsidRDefault="004D3313" w:rsidP="00E94B47">
      <w:pPr>
        <w:spacing w:after="120" w:line="360" w:lineRule="auto"/>
        <w:jc w:val="center"/>
        <w:rPr>
          <w:rFonts w:ascii="Arial" w:hAnsi="Arial" w:cs="Arial"/>
          <w:b/>
          <w:bCs/>
          <w:color w:val="C00000"/>
          <w:sz w:val="28"/>
          <w:szCs w:val="28"/>
        </w:rPr>
      </w:pPr>
      <w:r w:rsidRPr="009453C4">
        <w:rPr>
          <w:rFonts w:ascii="Arial" w:hAnsi="Arial" w:cs="Arial"/>
          <w:b/>
          <w:bCs/>
          <w:color w:val="C00000"/>
          <w:sz w:val="28"/>
          <w:szCs w:val="28"/>
        </w:rPr>
        <w:t xml:space="preserve">KEINE VERLETZUNG DER PRIVATAUTONOMIE DER GEMEINDEN DURCH RÜCKÜBERTRAGUNG DES </w:t>
      </w:r>
      <w:r w:rsidR="00E94B47">
        <w:rPr>
          <w:rFonts w:ascii="Arial" w:hAnsi="Arial" w:cs="Arial"/>
          <w:b/>
          <w:bCs/>
          <w:color w:val="C00000"/>
          <w:sz w:val="28"/>
          <w:szCs w:val="28"/>
        </w:rPr>
        <w:t xml:space="preserve">GRUNDBÜCHERLICHEN </w:t>
      </w:r>
      <w:r w:rsidRPr="009453C4">
        <w:rPr>
          <w:rFonts w:ascii="Arial" w:hAnsi="Arial" w:cs="Arial"/>
          <w:b/>
          <w:bCs/>
          <w:color w:val="C00000"/>
          <w:sz w:val="28"/>
          <w:szCs w:val="28"/>
        </w:rPr>
        <w:t>EIGENTUMS AM GEMEINDEGUT</w:t>
      </w:r>
      <w:r w:rsidR="00E94B47">
        <w:rPr>
          <w:rFonts w:ascii="Arial" w:hAnsi="Arial" w:cs="Arial"/>
          <w:b/>
          <w:bCs/>
          <w:color w:val="C00000"/>
          <w:sz w:val="28"/>
          <w:szCs w:val="28"/>
        </w:rPr>
        <w:t xml:space="preserve"> AN DIE GEMEINDEN</w:t>
      </w:r>
    </w:p>
    <w:p w14:paraId="7026D0D9" w14:textId="626E9D7D" w:rsidR="009453C4" w:rsidRPr="00E94B47" w:rsidRDefault="00D64493" w:rsidP="00A235DA">
      <w:pPr>
        <w:spacing w:before="240" w:after="0" w:line="360" w:lineRule="auto"/>
        <w:rPr>
          <w:rFonts w:cstheme="minorHAnsi"/>
          <w:sz w:val="24"/>
          <w:szCs w:val="24"/>
          <w:lang w:val="de-DE"/>
        </w:rPr>
      </w:pPr>
      <w:r w:rsidRPr="00E94B47">
        <w:rPr>
          <w:rFonts w:cstheme="minorHAnsi"/>
          <w:b/>
          <w:bCs/>
          <w:sz w:val="24"/>
          <w:szCs w:val="24"/>
          <w:lang w:val="de-DE"/>
        </w:rPr>
        <w:t>Vom Verfassungsdienst im Amt der Tiroler Landesregierung</w:t>
      </w:r>
      <w:r w:rsidRPr="00E94B47">
        <w:rPr>
          <w:rFonts w:cstheme="minorHAnsi"/>
          <w:sz w:val="24"/>
          <w:szCs w:val="24"/>
          <w:lang w:val="de-DE"/>
        </w:rPr>
        <w:t xml:space="preserve"> wurde im „Akten</w:t>
      </w:r>
      <w:r w:rsidR="00A235DA" w:rsidRPr="00E94B47">
        <w:rPr>
          <w:rFonts w:cstheme="minorHAnsi"/>
          <w:sz w:val="24"/>
          <w:szCs w:val="24"/>
          <w:lang w:val="de-DE"/>
        </w:rPr>
        <w:softHyphen/>
      </w:r>
      <w:r w:rsidRPr="00E94B47">
        <w:rPr>
          <w:rFonts w:cstheme="minorHAnsi"/>
          <w:sz w:val="24"/>
          <w:szCs w:val="24"/>
          <w:lang w:val="de-DE"/>
        </w:rPr>
        <w:t>ver</w:t>
      </w:r>
      <w:r w:rsidR="00A235DA" w:rsidRPr="00E94B47">
        <w:rPr>
          <w:rFonts w:cstheme="minorHAnsi"/>
          <w:sz w:val="24"/>
          <w:szCs w:val="24"/>
          <w:lang w:val="de-DE"/>
        </w:rPr>
        <w:softHyphen/>
      </w:r>
      <w:r w:rsidRPr="00E94B47">
        <w:rPr>
          <w:rFonts w:cstheme="minorHAnsi"/>
          <w:sz w:val="24"/>
          <w:szCs w:val="24"/>
          <w:lang w:val="de-DE"/>
        </w:rPr>
        <w:t>merk zum zweiten Entwurf eines Gemeindegut-Rückübertragungs-Gesetzes“ vom 8.8.2013 (vgl dazu den Dringlichgkeitsantrag vom 14.2.2013) der Einwand erhoben, dass die Gemeinden (!) die Rückübertragung des Gemeinde</w:t>
      </w:r>
      <w:r w:rsidR="009453C4" w:rsidRPr="00E94B47">
        <w:rPr>
          <w:rFonts w:cstheme="minorHAnsi"/>
          <w:sz w:val="24"/>
          <w:szCs w:val="24"/>
          <w:lang w:val="de-DE"/>
        </w:rPr>
        <w:softHyphen/>
      </w:r>
      <w:r w:rsidRPr="00E94B47">
        <w:rPr>
          <w:rFonts w:cstheme="minorHAnsi"/>
          <w:sz w:val="24"/>
          <w:szCs w:val="24"/>
          <w:lang w:val="de-DE"/>
        </w:rPr>
        <w:t>gutes durch Gesetz nicht vermeiden können, wenn sie mit ihr nicht einver</w:t>
      </w:r>
      <w:r w:rsidR="009453C4" w:rsidRPr="00E94B47">
        <w:rPr>
          <w:rFonts w:cstheme="minorHAnsi"/>
          <w:sz w:val="24"/>
          <w:szCs w:val="24"/>
          <w:lang w:val="de-DE"/>
        </w:rPr>
        <w:softHyphen/>
      </w:r>
      <w:r w:rsidRPr="00E94B47">
        <w:rPr>
          <w:rFonts w:cstheme="minorHAnsi"/>
          <w:sz w:val="24"/>
          <w:szCs w:val="24"/>
          <w:lang w:val="de-DE"/>
        </w:rPr>
        <w:t xml:space="preserve">standen sein sollten, weshalb der </w:t>
      </w:r>
      <w:r w:rsidRPr="00E94B47">
        <w:rPr>
          <w:rFonts w:cstheme="minorHAnsi"/>
          <w:b/>
          <w:bCs/>
          <w:sz w:val="24"/>
          <w:szCs w:val="24"/>
          <w:lang w:val="de-DE"/>
        </w:rPr>
        <w:t>Zwang zur Übernahme von Vermögens</w:t>
      </w:r>
      <w:r w:rsidR="009453C4" w:rsidRPr="00E94B47">
        <w:rPr>
          <w:rFonts w:cstheme="minorHAnsi"/>
          <w:b/>
          <w:bCs/>
          <w:sz w:val="24"/>
          <w:szCs w:val="24"/>
          <w:lang w:val="de-DE"/>
        </w:rPr>
        <w:softHyphen/>
      </w:r>
      <w:r w:rsidR="009453C4" w:rsidRPr="00E94B47">
        <w:rPr>
          <w:rFonts w:cstheme="minorHAnsi"/>
          <w:b/>
          <w:bCs/>
          <w:sz w:val="24"/>
          <w:szCs w:val="24"/>
          <w:lang w:val="de-DE"/>
        </w:rPr>
        <w:softHyphen/>
      </w:r>
      <w:r w:rsidRPr="00E94B47">
        <w:rPr>
          <w:rFonts w:cstheme="minorHAnsi"/>
          <w:b/>
          <w:bCs/>
          <w:sz w:val="24"/>
          <w:szCs w:val="24"/>
          <w:lang w:val="de-DE"/>
        </w:rPr>
        <w:t>werten in das Eigentum einen Eingriff in die durch das Eigentumsrecht verfassungsgesetzlich geschützte Privatautonomie dar</w:t>
      </w:r>
      <w:r w:rsidR="00A235DA" w:rsidRPr="00E94B47">
        <w:rPr>
          <w:rFonts w:cstheme="minorHAnsi"/>
          <w:b/>
          <w:bCs/>
          <w:sz w:val="24"/>
          <w:szCs w:val="24"/>
          <w:lang w:val="de-DE"/>
        </w:rPr>
        <w:softHyphen/>
      </w:r>
      <w:r w:rsidRPr="00E94B47">
        <w:rPr>
          <w:rFonts w:cstheme="minorHAnsi"/>
          <w:b/>
          <w:bCs/>
          <w:sz w:val="24"/>
          <w:szCs w:val="24"/>
          <w:lang w:val="de-DE"/>
        </w:rPr>
        <w:t>stelle</w:t>
      </w:r>
      <w:r w:rsidRPr="00E94B47">
        <w:rPr>
          <w:rFonts w:cstheme="minorHAnsi"/>
          <w:sz w:val="24"/>
          <w:szCs w:val="24"/>
          <w:lang w:val="de-DE"/>
        </w:rPr>
        <w:t>. Diese (einigermaßen sku</w:t>
      </w:r>
      <w:r w:rsidR="003908B1" w:rsidRPr="00E94B47">
        <w:rPr>
          <w:rFonts w:cstheme="minorHAnsi"/>
          <w:sz w:val="24"/>
          <w:szCs w:val="24"/>
          <w:lang w:val="de-DE"/>
        </w:rPr>
        <w:t>r</w:t>
      </w:r>
      <w:r w:rsidRPr="00E94B47">
        <w:rPr>
          <w:rFonts w:cstheme="minorHAnsi"/>
          <w:sz w:val="24"/>
          <w:szCs w:val="24"/>
          <w:lang w:val="de-DE"/>
        </w:rPr>
        <w:t xml:space="preserve">rilen) Bedenken hat </w:t>
      </w:r>
      <w:proofErr w:type="gramStart"/>
      <w:r w:rsidRPr="00E94B47">
        <w:rPr>
          <w:rFonts w:cstheme="minorHAnsi"/>
          <w:i/>
          <w:iCs/>
          <w:sz w:val="24"/>
          <w:szCs w:val="24"/>
          <w:lang w:val="de-DE"/>
        </w:rPr>
        <w:t>Kienberger</w:t>
      </w:r>
      <w:r w:rsidRPr="00E94B47">
        <w:rPr>
          <w:rFonts w:cstheme="minorHAnsi"/>
          <w:sz w:val="24"/>
          <w:szCs w:val="24"/>
          <w:lang w:val="de-DE"/>
        </w:rPr>
        <w:t xml:space="preserve"> </w:t>
      </w:r>
      <w:r w:rsidR="004D3313" w:rsidRPr="00E94B47">
        <w:rPr>
          <w:rFonts w:cstheme="minorHAnsi"/>
          <w:sz w:val="24"/>
          <w:szCs w:val="24"/>
          <w:lang w:val="de-DE"/>
        </w:rPr>
        <w:t xml:space="preserve"> </w:t>
      </w:r>
      <w:r w:rsidRPr="00E94B47">
        <w:rPr>
          <w:rFonts w:cstheme="minorHAnsi"/>
          <w:sz w:val="24"/>
          <w:szCs w:val="24"/>
          <w:lang w:val="de-DE"/>
        </w:rPr>
        <w:t>durch</w:t>
      </w:r>
      <w:proofErr w:type="gramEnd"/>
      <w:r w:rsidRPr="00E94B47">
        <w:rPr>
          <w:rFonts w:cstheme="minorHAnsi"/>
          <w:sz w:val="24"/>
          <w:szCs w:val="24"/>
          <w:lang w:val="de-DE"/>
        </w:rPr>
        <w:t xml:space="preserve"> den Hinweis auf § 69 Abs 1 TGO nachvollziehbar entkräftet</w:t>
      </w:r>
      <w:r w:rsidR="004D3313" w:rsidRPr="00E94B47">
        <w:rPr>
          <w:rFonts w:cstheme="minorHAnsi"/>
          <w:sz w:val="24"/>
          <w:szCs w:val="24"/>
          <w:lang w:val="de-DE"/>
        </w:rPr>
        <w:t xml:space="preserve"> (</w:t>
      </w:r>
      <w:r w:rsidR="004D3313" w:rsidRPr="00E94B47">
        <w:rPr>
          <w:rFonts w:cstheme="minorHAnsi"/>
          <w:sz w:val="24"/>
          <w:szCs w:val="24"/>
        </w:rPr>
        <w:t xml:space="preserve">vgl </w:t>
      </w:r>
      <w:r w:rsidR="004D3313" w:rsidRPr="00E94B47">
        <w:rPr>
          <w:rFonts w:cstheme="minorHAnsi"/>
          <w:i/>
          <w:iCs/>
          <w:sz w:val="24"/>
          <w:szCs w:val="24"/>
        </w:rPr>
        <w:t>Kienberger</w:t>
      </w:r>
      <w:r w:rsidR="004D3313" w:rsidRPr="00E94B47">
        <w:rPr>
          <w:rFonts w:cstheme="minorHAnsi"/>
          <w:sz w:val="24"/>
          <w:szCs w:val="24"/>
        </w:rPr>
        <w:t>, Das Gemeindegut als Verfassungsproblem, VII./B./8.,  S 56 )</w:t>
      </w:r>
      <w:r w:rsidRPr="00E94B47">
        <w:rPr>
          <w:rFonts w:cstheme="minorHAnsi"/>
          <w:sz w:val="24"/>
          <w:szCs w:val="24"/>
          <w:lang w:val="de-DE"/>
        </w:rPr>
        <w:t>:</w:t>
      </w:r>
    </w:p>
    <w:p w14:paraId="3BFD6BCA" w14:textId="77777777" w:rsidR="009453C4" w:rsidRPr="00E94B47" w:rsidRDefault="009453C4" w:rsidP="009453C4">
      <w:pPr>
        <w:spacing w:before="240" w:after="0" w:line="360" w:lineRule="auto"/>
        <w:jc w:val="both"/>
        <w:rPr>
          <w:rFonts w:cstheme="minorHAnsi"/>
          <w:sz w:val="24"/>
          <w:szCs w:val="24"/>
          <w:lang w:val="de-DE"/>
        </w:rPr>
      </w:pPr>
    </w:p>
    <w:tbl>
      <w:tblPr>
        <w:tblStyle w:val="Tabellenraster"/>
        <w:tblW w:w="8080" w:type="dxa"/>
        <w:tblInd w:w="562" w:type="dxa"/>
        <w:tblLook w:val="04A0" w:firstRow="1" w:lastRow="0" w:firstColumn="1" w:lastColumn="0" w:noHBand="0" w:noVBand="1"/>
      </w:tblPr>
      <w:tblGrid>
        <w:gridCol w:w="8080"/>
      </w:tblGrid>
      <w:tr w:rsidR="009453C4" w:rsidRPr="00E94B47" w14:paraId="65BE88E3" w14:textId="77777777" w:rsidTr="00AF20AA">
        <w:trPr>
          <w:trHeight w:val="4904"/>
        </w:trPr>
        <w:tc>
          <w:tcPr>
            <w:tcW w:w="8080" w:type="dxa"/>
          </w:tcPr>
          <w:p w14:paraId="513B29C7" w14:textId="40BFF6F0" w:rsidR="009453C4" w:rsidRPr="00E94B47" w:rsidRDefault="009453C4" w:rsidP="009453C4">
            <w:pPr>
              <w:spacing w:before="240" w:after="0" w:line="360" w:lineRule="auto"/>
              <w:jc w:val="both"/>
              <w:rPr>
                <w:rFonts w:cstheme="minorHAnsi"/>
                <w:b/>
                <w:bCs/>
                <w:i/>
                <w:iCs/>
                <w:sz w:val="24"/>
                <w:szCs w:val="24"/>
                <w:lang w:val="de-DE"/>
              </w:rPr>
            </w:pPr>
            <w:r w:rsidRPr="00E94B47">
              <w:rPr>
                <w:rFonts w:cstheme="minorHAnsi"/>
                <w:b/>
                <w:bCs/>
                <w:i/>
                <w:iCs/>
                <w:sz w:val="24"/>
                <w:szCs w:val="24"/>
                <w:lang w:val="de-DE"/>
              </w:rPr>
              <w:t xml:space="preserve">„Da das Gemeindevermögen, zu dem gemäß § 68 Abs 3 TGO auch das Gemeindegut gehört, zu erhalten (und sorgsam zu verwalten) ist (§ 69 Absatz 1 TGO), ist es den Gemeinden verwehrt, das Gemeindegut unentgeltlich abzutreten. Schon deshalb sind die Gemeinden rechtlich außerstande, die Rückführung des ihnen ohne gesetzliche Ermächtigung und ersatzlos entzogenen Gemeindeguts unter Berufung auf die ihnen zustehende Privatautonomie abzulehnen, zumal mit der Rückführung nur das Ergebnis eines qualifiziert rechtswidrigen Vorgangs rückgängig gemacht und der ursprüngliche rechtmäßige Zustand wiederhergestellt wird. Von einem verfassungswidrigen Eingriff in die Privatautonomie der Gemeinde kann daher keine Rede sein.“ </w:t>
            </w:r>
          </w:p>
        </w:tc>
      </w:tr>
    </w:tbl>
    <w:p w14:paraId="2722EDFB" w14:textId="77777777" w:rsidR="00D64493" w:rsidRPr="009453C4" w:rsidRDefault="00D64493" w:rsidP="009453C4">
      <w:pPr>
        <w:spacing w:before="240" w:after="0" w:line="360" w:lineRule="auto"/>
        <w:jc w:val="both"/>
        <w:rPr>
          <w:rFonts w:cstheme="minorHAnsi"/>
          <w:sz w:val="26"/>
          <w:szCs w:val="26"/>
          <w:lang w:val="de-DE"/>
        </w:rPr>
      </w:pPr>
    </w:p>
    <w:sectPr w:rsidR="00D64493" w:rsidRPr="009453C4">
      <w:footerReference w:type="default" r:id="rId8"/>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8599" w14:textId="77777777" w:rsidR="00863C35" w:rsidRDefault="00863C35" w:rsidP="009453C4">
      <w:pPr>
        <w:spacing w:after="0" w:line="240" w:lineRule="auto"/>
      </w:pPr>
      <w:r>
        <w:separator/>
      </w:r>
    </w:p>
  </w:endnote>
  <w:endnote w:type="continuationSeparator" w:id="0">
    <w:p w14:paraId="27F41A29" w14:textId="77777777" w:rsidR="00863C35" w:rsidRDefault="00863C35" w:rsidP="0094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C135" w14:textId="2FBCDD72" w:rsidR="003908B1" w:rsidRDefault="003908B1" w:rsidP="003908B1">
    <w:pPr>
      <w:pStyle w:val="Fuzeile"/>
      <w:jc w:val="center"/>
    </w:pPr>
    <w:r>
      <w:rPr>
        <w:rFonts w:eastAsia="Yu Gothic UI Semibold" w:cstheme="minorHAnsi"/>
      </w:rPr>
      <w:t>&gt;&gt; Gemeindeland in Gemeindehand &lt;&lt;</w:t>
    </w:r>
  </w:p>
  <w:p w14:paraId="2F69BC6F" w14:textId="2095D945" w:rsidR="003908B1" w:rsidRDefault="003908B1" w:rsidP="003908B1">
    <w:pPr>
      <w:pStyle w:val="Fuzeile"/>
      <w:jc w:val="center"/>
    </w:pPr>
  </w:p>
  <w:p w14:paraId="5CDD6A1D" w14:textId="77777777" w:rsidR="003908B1" w:rsidRDefault="0039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0E4A" w14:textId="77777777" w:rsidR="00863C35" w:rsidRDefault="00863C35" w:rsidP="009453C4">
      <w:pPr>
        <w:spacing w:after="0" w:line="240" w:lineRule="auto"/>
      </w:pPr>
      <w:r>
        <w:separator/>
      </w:r>
    </w:p>
  </w:footnote>
  <w:footnote w:type="continuationSeparator" w:id="0">
    <w:p w14:paraId="2A96A940" w14:textId="77777777" w:rsidR="00863C35" w:rsidRDefault="00863C35" w:rsidP="0094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E55"/>
    <w:multiLevelType w:val="hybridMultilevel"/>
    <w:tmpl w:val="241462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D8B369E"/>
    <w:multiLevelType w:val="hybridMultilevel"/>
    <w:tmpl w:val="10E0CB2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9B322E2"/>
    <w:multiLevelType w:val="multilevel"/>
    <w:tmpl w:val="DE18C5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CE4540A"/>
    <w:multiLevelType w:val="hybridMultilevel"/>
    <w:tmpl w:val="81FAF6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FAB7BBA"/>
    <w:multiLevelType w:val="hybridMultilevel"/>
    <w:tmpl w:val="05A26A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6E06DFB"/>
    <w:multiLevelType w:val="multilevel"/>
    <w:tmpl w:val="246810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80"/>
    <w:rsid w:val="0017067E"/>
    <w:rsid w:val="003908B1"/>
    <w:rsid w:val="003E6480"/>
    <w:rsid w:val="00403F0B"/>
    <w:rsid w:val="004D3313"/>
    <w:rsid w:val="00534C2A"/>
    <w:rsid w:val="00570CB0"/>
    <w:rsid w:val="005B340B"/>
    <w:rsid w:val="00863C35"/>
    <w:rsid w:val="009453C4"/>
    <w:rsid w:val="00983E39"/>
    <w:rsid w:val="00A235DA"/>
    <w:rsid w:val="00A85917"/>
    <w:rsid w:val="00AF20AA"/>
    <w:rsid w:val="00B00D9D"/>
    <w:rsid w:val="00B84904"/>
    <w:rsid w:val="00C63001"/>
    <w:rsid w:val="00CF69B6"/>
    <w:rsid w:val="00D64493"/>
    <w:rsid w:val="00E2176B"/>
    <w:rsid w:val="00E51051"/>
    <w:rsid w:val="00E94B47"/>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DB14"/>
  <w15:docId w15:val="{510798AA-CA92-4C28-9407-98F7F7F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47B"/>
    <w:pPr>
      <w:spacing w:after="200" w:line="276" w:lineRule="auto"/>
    </w:pPr>
    <w:rPr>
      <w:rFonts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rsid w:val="008C23DA"/>
    <w:rPr>
      <w:rFonts w:cs="Times New Roman"/>
      <w:color w:val="0000FF"/>
      <w:u w:val="single"/>
    </w:rPr>
  </w:style>
  <w:style w:type="character" w:customStyle="1" w:styleId="SprechblasentextZchn">
    <w:name w:val="Sprechblasentext Zchn"/>
    <w:basedOn w:val="Absatz-Standardschriftart"/>
    <w:link w:val="Sprechblasentext"/>
    <w:uiPriority w:val="99"/>
    <w:semiHidden/>
    <w:qFormat/>
    <w:rsid w:val="00DD5B87"/>
    <w:rPr>
      <w:rFonts w:ascii="Segoe UI" w:eastAsia="Calibr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99"/>
    <w:qFormat/>
    <w:rsid w:val="008C23DA"/>
    <w:pPr>
      <w:ind w:left="720"/>
      <w:contextualSpacing/>
    </w:pPr>
  </w:style>
  <w:style w:type="paragraph" w:styleId="Sprechblasentext">
    <w:name w:val="Balloon Text"/>
    <w:basedOn w:val="Standard"/>
    <w:link w:val="SprechblasentextZchn"/>
    <w:uiPriority w:val="99"/>
    <w:semiHidden/>
    <w:unhideWhenUsed/>
    <w:qFormat/>
    <w:rsid w:val="00DD5B87"/>
    <w:pPr>
      <w:spacing w:after="0" w:line="240" w:lineRule="auto"/>
    </w:pPr>
    <w:rPr>
      <w:rFonts w:ascii="Segoe UI" w:hAnsi="Segoe UI" w:cs="Segoe UI"/>
      <w:sz w:val="18"/>
      <w:szCs w:val="18"/>
    </w:rPr>
  </w:style>
  <w:style w:type="table" w:styleId="Tabellenraster">
    <w:name w:val="Table Grid"/>
    <w:basedOn w:val="NormaleTabelle"/>
    <w:uiPriority w:val="39"/>
    <w:rsid w:val="00B5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5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3C4"/>
    <w:rPr>
      <w:rFonts w:cs="Times New Roman"/>
      <w:sz w:val="22"/>
    </w:rPr>
  </w:style>
  <w:style w:type="paragraph" w:styleId="Fuzeile">
    <w:name w:val="footer"/>
    <w:basedOn w:val="Standard"/>
    <w:link w:val="FuzeileZchn"/>
    <w:uiPriority w:val="99"/>
    <w:unhideWhenUsed/>
    <w:rsid w:val="00945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3C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4636-422C-4559-815F-8CD2617B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Lux</dc:creator>
  <dc:description/>
  <cp:lastModifiedBy>Werner Lux</cp:lastModifiedBy>
  <cp:revision>29</cp:revision>
  <cp:lastPrinted>2021-10-14T07:33:00Z</cp:lastPrinted>
  <dcterms:created xsi:type="dcterms:W3CDTF">2019-03-28T09:07:00Z</dcterms:created>
  <dcterms:modified xsi:type="dcterms:W3CDTF">2021-10-14T07:33:00Z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